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C1534" w14:textId="0D82A898" w:rsidR="00615C30" w:rsidRDefault="00615C30" w:rsidP="00615C30">
      <w:pPr>
        <w:pStyle w:val="1"/>
        <w:spacing w:before="0" w:afterLines="50" w:after="156" w:line="560" w:lineRule="exact"/>
        <w:jc w:val="both"/>
        <w:rPr>
          <w:rFonts w:ascii="宋体" w:eastAsia="宋体" w:hAnsi="宋体"/>
          <w:color w:val="auto"/>
          <w:szCs w:val="32"/>
        </w:rPr>
      </w:pPr>
      <w:r>
        <w:rPr>
          <w:rFonts w:ascii="宋体" w:eastAsia="宋体" w:hAnsi="宋体" w:hint="eastAsia"/>
          <w:color w:val="auto"/>
          <w:szCs w:val="32"/>
        </w:rPr>
        <w:t>附件1</w:t>
      </w:r>
    </w:p>
    <w:p w14:paraId="566367B6" w14:textId="2A65B1A0" w:rsidR="00EE355C" w:rsidRPr="00C779F4" w:rsidRDefault="00B8686C">
      <w:pPr>
        <w:pStyle w:val="1"/>
        <w:spacing w:before="0" w:afterLines="50" w:after="156" w:line="560" w:lineRule="exact"/>
        <w:rPr>
          <w:rFonts w:ascii="宋体" w:eastAsia="宋体" w:hAnsi="宋体"/>
          <w:color w:val="auto"/>
          <w:szCs w:val="32"/>
        </w:rPr>
      </w:pPr>
      <w:r w:rsidRPr="00C779F4">
        <w:rPr>
          <w:rFonts w:ascii="宋体" w:eastAsia="宋体" w:hAnsi="宋体" w:hint="eastAsia"/>
          <w:color w:val="auto"/>
          <w:szCs w:val="32"/>
        </w:rPr>
        <w:t>中国高校产学研创新基金</w:t>
      </w:r>
      <w:r w:rsidRPr="00C779F4">
        <w:rPr>
          <w:rFonts w:ascii="宋体" w:eastAsia="宋体" w:hAnsi="宋体"/>
          <w:color w:val="auto"/>
          <w:szCs w:val="32"/>
        </w:rPr>
        <w:t>-</w:t>
      </w:r>
      <w:r w:rsidR="0021396B">
        <w:rPr>
          <w:rFonts w:ascii="宋体" w:eastAsia="宋体" w:hAnsi="宋体" w:hint="eastAsia"/>
          <w:color w:val="auto"/>
          <w:szCs w:val="32"/>
        </w:rPr>
        <w:t>迈瑞</w:t>
      </w:r>
      <w:r w:rsidRPr="00C779F4">
        <w:rPr>
          <w:rFonts w:ascii="宋体" w:eastAsia="宋体" w:hAnsi="宋体"/>
          <w:color w:val="auto"/>
          <w:szCs w:val="32"/>
        </w:rPr>
        <w:t>检验专项</w:t>
      </w:r>
    </w:p>
    <w:p w14:paraId="3E8EA016" w14:textId="77777777" w:rsidR="00EE355C" w:rsidRPr="00C779F4" w:rsidRDefault="00B8686C">
      <w:pPr>
        <w:pStyle w:val="1"/>
        <w:spacing w:before="0" w:afterLines="50" w:after="156" w:line="560" w:lineRule="exact"/>
        <w:rPr>
          <w:rFonts w:ascii="宋体" w:eastAsia="宋体" w:hAnsi="宋体"/>
          <w:color w:val="auto"/>
          <w:szCs w:val="32"/>
        </w:rPr>
      </w:pPr>
      <w:r w:rsidRPr="00C779F4">
        <w:rPr>
          <w:rFonts w:ascii="宋体" w:eastAsia="宋体" w:hAnsi="宋体" w:hint="eastAsia"/>
          <w:color w:val="auto"/>
          <w:szCs w:val="32"/>
        </w:rPr>
        <w:t>申请指南说明</w:t>
      </w:r>
    </w:p>
    <w:p w14:paraId="00A04636" w14:textId="77777777" w:rsidR="00EE355C" w:rsidRPr="00C779F4" w:rsidRDefault="00EE355C">
      <w:pPr>
        <w:pStyle w:val="1"/>
        <w:spacing w:before="0" w:afterLines="50" w:after="156" w:line="420" w:lineRule="exact"/>
        <w:rPr>
          <w:rFonts w:ascii="宋体" w:eastAsia="宋体" w:hAnsi="宋体"/>
          <w:color w:val="auto"/>
          <w:szCs w:val="32"/>
        </w:rPr>
      </w:pPr>
    </w:p>
    <w:p w14:paraId="1184B392" w14:textId="171204F7" w:rsidR="00EE355C" w:rsidRPr="00C779F4" w:rsidRDefault="00DC747F" w:rsidP="00C208D7">
      <w:pPr>
        <w:spacing w:before="0" w:after="0" w:line="440" w:lineRule="exact"/>
        <w:ind w:firstLine="480"/>
        <w:rPr>
          <w:rFonts w:ascii="宋体" w:hAnsi="宋体"/>
          <w:color w:val="auto"/>
          <w:sz w:val="24"/>
          <w:szCs w:val="24"/>
        </w:rPr>
      </w:pPr>
      <w:r w:rsidRPr="00C779F4">
        <w:rPr>
          <w:rFonts w:ascii="宋体" w:hAnsi="宋体" w:hint="eastAsia"/>
          <w:sz w:val="24"/>
          <w:szCs w:val="24"/>
        </w:rPr>
        <w:t>根据《关于申报</w:t>
      </w:r>
      <w:r w:rsidR="0021396B">
        <w:rPr>
          <w:rFonts w:ascii="宋体" w:hAnsi="宋体" w:hint="eastAsia"/>
          <w:sz w:val="24"/>
          <w:szCs w:val="24"/>
        </w:rPr>
        <w:t>2024</w:t>
      </w:r>
      <w:r w:rsidRPr="00C779F4">
        <w:rPr>
          <w:rFonts w:ascii="宋体" w:hAnsi="宋体" w:hint="eastAsia"/>
          <w:sz w:val="24"/>
          <w:szCs w:val="24"/>
        </w:rPr>
        <w:t>年中国高校产学研创新基金的通知》(教科发中心函〔</w:t>
      </w:r>
      <w:r w:rsidR="0021396B">
        <w:rPr>
          <w:rFonts w:ascii="宋体" w:hAnsi="宋体" w:hint="eastAsia"/>
          <w:sz w:val="24"/>
          <w:szCs w:val="24"/>
        </w:rPr>
        <w:t>2024</w:t>
      </w:r>
      <w:r w:rsidRPr="00C779F4">
        <w:rPr>
          <w:rFonts w:ascii="宋体" w:hAnsi="宋体" w:hint="eastAsia"/>
          <w:sz w:val="24"/>
          <w:szCs w:val="24"/>
        </w:rPr>
        <w:t>〕</w:t>
      </w:r>
      <w:r w:rsidR="0021396B">
        <w:rPr>
          <w:rFonts w:ascii="宋体" w:hAnsi="宋体" w:hint="eastAsia"/>
          <w:sz w:val="24"/>
          <w:szCs w:val="24"/>
        </w:rPr>
        <w:t>1</w:t>
      </w:r>
      <w:r w:rsidRPr="00C779F4">
        <w:rPr>
          <w:rFonts w:ascii="宋体" w:hAnsi="宋体" w:hint="eastAsia"/>
          <w:sz w:val="24"/>
          <w:szCs w:val="24"/>
        </w:rPr>
        <w:t>号)的相关要求，</w:t>
      </w:r>
      <w:r w:rsidR="00B8686C" w:rsidRPr="00C779F4">
        <w:rPr>
          <w:rFonts w:ascii="宋体" w:hAnsi="宋体" w:hint="eastAsia"/>
          <w:sz w:val="24"/>
          <w:szCs w:val="24"/>
        </w:rPr>
        <w:t>教育部高等学校科学研究发展中心与</w:t>
      </w:r>
      <w:r w:rsidR="00502A51" w:rsidRPr="00502A51">
        <w:rPr>
          <w:rFonts w:ascii="宋体" w:hAnsi="宋体" w:hint="eastAsia"/>
          <w:sz w:val="24"/>
          <w:szCs w:val="24"/>
        </w:rPr>
        <w:t>深圳迈瑞生物医疗电子股份有限公司</w:t>
      </w:r>
      <w:r w:rsidR="00B8686C" w:rsidRPr="00C779F4">
        <w:rPr>
          <w:rFonts w:ascii="宋体" w:hAnsi="宋体" w:hint="eastAsia"/>
          <w:sz w:val="24"/>
          <w:szCs w:val="24"/>
        </w:rPr>
        <w:t>设立</w:t>
      </w:r>
      <w:r w:rsidR="00B8686C" w:rsidRPr="00C779F4">
        <w:rPr>
          <w:rFonts w:ascii="宋体" w:hAnsi="宋体" w:hint="eastAsia"/>
          <w:color w:val="auto"/>
          <w:sz w:val="24"/>
          <w:szCs w:val="24"/>
        </w:rPr>
        <w:t>“</w:t>
      </w:r>
      <w:r w:rsidR="00C208D7" w:rsidRPr="00C779F4">
        <w:rPr>
          <w:rFonts w:ascii="宋体" w:hAnsi="宋体" w:hint="eastAsia"/>
          <w:color w:val="auto"/>
          <w:sz w:val="24"/>
          <w:szCs w:val="24"/>
        </w:rPr>
        <w:t>中国</w:t>
      </w:r>
      <w:r w:rsidR="00C208D7" w:rsidRPr="00C779F4">
        <w:rPr>
          <w:rFonts w:ascii="宋体" w:hAnsi="宋体"/>
          <w:color w:val="auto"/>
          <w:sz w:val="24"/>
          <w:szCs w:val="24"/>
        </w:rPr>
        <w:t>高</w:t>
      </w:r>
      <w:bookmarkStart w:id="0" w:name="_GoBack"/>
      <w:bookmarkEnd w:id="0"/>
      <w:r w:rsidR="00C208D7" w:rsidRPr="00C779F4">
        <w:rPr>
          <w:rFonts w:ascii="宋体" w:hAnsi="宋体"/>
          <w:color w:val="auto"/>
          <w:sz w:val="24"/>
          <w:szCs w:val="24"/>
        </w:rPr>
        <w:t>校产学研创新基金—</w:t>
      </w:r>
      <w:r w:rsidR="00502A51">
        <w:rPr>
          <w:rFonts w:ascii="宋体" w:hAnsi="宋体" w:hint="eastAsia"/>
          <w:color w:val="auto"/>
          <w:sz w:val="24"/>
          <w:szCs w:val="24"/>
        </w:rPr>
        <w:t>迈瑞</w:t>
      </w:r>
      <w:r w:rsidR="00B8686C" w:rsidRPr="00C779F4">
        <w:rPr>
          <w:rFonts w:ascii="宋体" w:hAnsi="宋体" w:hint="eastAsia"/>
          <w:color w:val="auto"/>
          <w:sz w:val="24"/>
          <w:szCs w:val="24"/>
        </w:rPr>
        <w:t>检验专项”，</w:t>
      </w:r>
      <w:r w:rsidR="00502A51">
        <w:rPr>
          <w:rFonts w:hint="eastAsia"/>
          <w:color w:val="auto"/>
          <w:sz w:val="24"/>
          <w:szCs w:val="24"/>
        </w:rPr>
        <w:t>用以支持高校在医学检验领域的创新研究</w:t>
      </w:r>
      <w:r w:rsidR="00C208D7" w:rsidRPr="00C779F4">
        <w:rPr>
          <w:rFonts w:ascii="宋体" w:hAnsi="宋体" w:hint="eastAsia"/>
          <w:color w:val="auto"/>
          <w:sz w:val="24"/>
          <w:szCs w:val="24"/>
        </w:rPr>
        <w:t>。</w:t>
      </w:r>
    </w:p>
    <w:p w14:paraId="5F437596" w14:textId="00AAFBDD" w:rsidR="00EE355C" w:rsidRPr="00C779F4" w:rsidRDefault="00B8686C" w:rsidP="00DC747F">
      <w:pPr>
        <w:spacing w:before="0" w:after="0" w:line="440" w:lineRule="exact"/>
        <w:ind w:firstLine="480"/>
        <w:rPr>
          <w:rFonts w:ascii="宋体" w:hAnsi="宋体"/>
          <w:color w:val="auto"/>
          <w:sz w:val="24"/>
          <w:szCs w:val="24"/>
        </w:rPr>
      </w:pPr>
      <w:r w:rsidRPr="00C779F4">
        <w:rPr>
          <w:rFonts w:ascii="宋体" w:hAnsi="宋体" w:hint="eastAsia"/>
          <w:color w:val="auto"/>
          <w:sz w:val="24"/>
          <w:szCs w:val="24"/>
        </w:rPr>
        <w:t>一、课题说明</w:t>
      </w:r>
    </w:p>
    <w:p w14:paraId="3A02D3F2" w14:textId="3E79B547" w:rsidR="00EE355C" w:rsidRDefault="00502A51" w:rsidP="00502A51">
      <w:pPr>
        <w:numPr>
          <w:ilvl w:val="0"/>
          <w:numId w:val="2"/>
        </w:numPr>
        <w:spacing w:before="0" w:after="0" w:line="440" w:lineRule="exact"/>
        <w:ind w:firstLineChars="0" w:firstLine="480"/>
        <w:rPr>
          <w:rFonts w:ascii="宋体" w:hAnsi="宋体"/>
          <w:color w:val="auto"/>
          <w:sz w:val="24"/>
          <w:szCs w:val="24"/>
        </w:rPr>
      </w:pPr>
      <w:r w:rsidRPr="00502A51">
        <w:rPr>
          <w:rFonts w:ascii="宋体" w:hAnsi="宋体" w:hint="eastAsia"/>
          <w:color w:val="auto"/>
          <w:sz w:val="24"/>
          <w:szCs w:val="24"/>
        </w:rPr>
        <w:t>专项课题旨在全国范围内遴选合作高校，共同关注临床诊疗实际需求，通过基础研究、临床应用研究和教学实践，构建产、学、</w:t>
      </w:r>
      <w:proofErr w:type="gramStart"/>
      <w:r w:rsidRPr="00502A51">
        <w:rPr>
          <w:rFonts w:ascii="宋体" w:hAnsi="宋体" w:hint="eastAsia"/>
          <w:color w:val="auto"/>
          <w:sz w:val="24"/>
          <w:szCs w:val="24"/>
        </w:rPr>
        <w:t>研</w:t>
      </w:r>
      <w:proofErr w:type="gramEnd"/>
      <w:r w:rsidRPr="00502A51">
        <w:rPr>
          <w:rFonts w:ascii="宋体" w:hAnsi="宋体" w:hint="eastAsia"/>
          <w:color w:val="auto"/>
          <w:sz w:val="24"/>
          <w:szCs w:val="24"/>
        </w:rPr>
        <w:t>、</w:t>
      </w:r>
      <w:proofErr w:type="gramStart"/>
      <w:r w:rsidRPr="00502A51">
        <w:rPr>
          <w:rFonts w:ascii="宋体" w:hAnsi="宋体" w:hint="eastAsia"/>
          <w:color w:val="auto"/>
          <w:sz w:val="24"/>
          <w:szCs w:val="24"/>
        </w:rPr>
        <w:t>医</w:t>
      </w:r>
      <w:proofErr w:type="gramEnd"/>
      <w:r w:rsidRPr="00502A51">
        <w:rPr>
          <w:rFonts w:ascii="宋体" w:hAnsi="宋体" w:hint="eastAsia"/>
          <w:color w:val="auto"/>
          <w:sz w:val="24"/>
          <w:szCs w:val="24"/>
        </w:rPr>
        <w:t>、用深度融合体系，培养具备基于临床实践的科研思维的应用型创新人才，为进一步优化诊疗方案提供依据，助力检验医学高质量发展</w:t>
      </w:r>
      <w:r w:rsidR="00B8686C" w:rsidRPr="00C779F4">
        <w:rPr>
          <w:rFonts w:ascii="宋体" w:hAnsi="宋体" w:hint="eastAsia"/>
          <w:color w:val="auto"/>
          <w:sz w:val="24"/>
          <w:szCs w:val="24"/>
        </w:rPr>
        <w:t>。</w:t>
      </w:r>
    </w:p>
    <w:p w14:paraId="5E2C4633" w14:textId="29EEA5CB" w:rsidR="00502A51" w:rsidRPr="00C779F4" w:rsidRDefault="00502A51" w:rsidP="00502A51">
      <w:pPr>
        <w:numPr>
          <w:ilvl w:val="0"/>
          <w:numId w:val="2"/>
        </w:numPr>
        <w:spacing w:before="0" w:after="0" w:line="440" w:lineRule="exact"/>
        <w:ind w:firstLineChars="0" w:firstLine="480"/>
        <w:rPr>
          <w:rFonts w:ascii="宋体" w:hAnsi="宋体"/>
          <w:color w:val="auto"/>
          <w:sz w:val="24"/>
          <w:szCs w:val="24"/>
        </w:rPr>
      </w:pPr>
      <w:r>
        <w:rPr>
          <w:rFonts w:ascii="宋体" w:hAnsi="宋体" w:hint="eastAsia"/>
          <w:color w:val="auto"/>
          <w:sz w:val="24"/>
          <w:szCs w:val="24"/>
        </w:rPr>
        <w:t>专项</w:t>
      </w:r>
      <w:r>
        <w:rPr>
          <w:rFonts w:ascii="宋体" w:hAnsi="宋体"/>
          <w:color w:val="auto"/>
          <w:sz w:val="24"/>
          <w:szCs w:val="24"/>
        </w:rPr>
        <w:t>课题</w:t>
      </w:r>
      <w:r w:rsidRPr="00502A51">
        <w:rPr>
          <w:rFonts w:ascii="宋体" w:hAnsi="宋体" w:hint="eastAsia"/>
          <w:color w:val="auto"/>
          <w:sz w:val="24"/>
          <w:szCs w:val="24"/>
        </w:rPr>
        <w:t>基于临床检验常规/创新的检测平台、技术及指标在疾病诊疗过程中的应用价值，拟开展临检、凝血、免疫、生化、微生物等五个检验医学的子领域相关应用研究。</w:t>
      </w:r>
    </w:p>
    <w:p w14:paraId="1989C1FC" w14:textId="77777777" w:rsidR="00EE355C" w:rsidRPr="00C779F4" w:rsidRDefault="00B8686C">
      <w:pPr>
        <w:numPr>
          <w:ilvl w:val="0"/>
          <w:numId w:val="2"/>
        </w:numPr>
        <w:spacing w:before="0" w:after="0" w:line="440" w:lineRule="exact"/>
        <w:ind w:firstLineChars="0" w:firstLine="480"/>
        <w:rPr>
          <w:rFonts w:ascii="宋体" w:hAnsi="宋体"/>
          <w:color w:val="auto"/>
          <w:sz w:val="24"/>
          <w:szCs w:val="24"/>
        </w:rPr>
      </w:pPr>
      <w:r w:rsidRPr="00C779F4">
        <w:rPr>
          <w:rFonts w:ascii="宋体" w:hAnsi="宋体" w:hint="eastAsia"/>
          <w:color w:val="auto"/>
          <w:sz w:val="24"/>
          <w:szCs w:val="24"/>
        </w:rPr>
        <w:t>申请人在本课题研究过程中，应遵守国家相关法律、法规和有关规定，按照产品说明书进行研究。如需深入研究，申请人应按照国家有关规定履行相关程序，在立项后提供所在单位伦理委员会审查意见等。</w:t>
      </w:r>
    </w:p>
    <w:p w14:paraId="54E39692" w14:textId="165C3136" w:rsidR="00EE355C" w:rsidRPr="00C779F4" w:rsidRDefault="00B8686C" w:rsidP="00502A51">
      <w:pPr>
        <w:numPr>
          <w:ilvl w:val="0"/>
          <w:numId w:val="2"/>
        </w:numPr>
        <w:spacing w:before="0" w:after="0" w:line="440" w:lineRule="exact"/>
        <w:ind w:firstLineChars="0" w:firstLine="480"/>
        <w:rPr>
          <w:rFonts w:ascii="宋体" w:hAnsi="宋体"/>
          <w:color w:val="auto"/>
          <w:sz w:val="24"/>
          <w:szCs w:val="24"/>
        </w:rPr>
      </w:pPr>
      <w:r w:rsidRPr="00C779F4">
        <w:rPr>
          <w:rFonts w:ascii="宋体" w:hAnsi="宋体" w:hint="eastAsia"/>
          <w:color w:val="auto"/>
          <w:sz w:val="24"/>
          <w:szCs w:val="24"/>
        </w:rPr>
        <w:t>根据确定的研究内容，</w:t>
      </w:r>
      <w:r w:rsidR="00502A51" w:rsidRPr="00502A51">
        <w:rPr>
          <w:rFonts w:ascii="宋体" w:hAnsi="宋体" w:hint="eastAsia"/>
          <w:color w:val="auto"/>
          <w:sz w:val="24"/>
          <w:szCs w:val="24"/>
        </w:rPr>
        <w:t>“迈瑞检验专项”为每个立项课题提供总价值不低于10万元的研究经费及科研软硬件平台的支持（研究经费不低于总经费的50%</w:t>
      </w:r>
      <w:r w:rsidR="00502A51">
        <w:rPr>
          <w:rFonts w:ascii="宋体" w:hAnsi="宋体" w:hint="eastAsia"/>
          <w:color w:val="auto"/>
          <w:sz w:val="24"/>
          <w:szCs w:val="24"/>
        </w:rPr>
        <w:t>）。课题申请人无需向资助单位额外购买配套设备或产品</w:t>
      </w:r>
      <w:r w:rsidR="00502A51" w:rsidRPr="00502A51">
        <w:rPr>
          <w:rFonts w:ascii="宋体" w:hAnsi="宋体" w:hint="eastAsia"/>
          <w:color w:val="auto"/>
          <w:sz w:val="24"/>
          <w:szCs w:val="24"/>
        </w:rPr>
        <w:t>。</w:t>
      </w:r>
    </w:p>
    <w:p w14:paraId="6822C0EA" w14:textId="71CF51E1" w:rsidR="009872D1" w:rsidRPr="00C779F4" w:rsidRDefault="009872D1" w:rsidP="009872D1">
      <w:pPr>
        <w:numPr>
          <w:ilvl w:val="0"/>
          <w:numId w:val="2"/>
        </w:numPr>
        <w:spacing w:before="0" w:after="0" w:line="440" w:lineRule="exact"/>
        <w:ind w:firstLineChars="0" w:firstLine="480"/>
        <w:rPr>
          <w:rFonts w:ascii="宋体" w:hAnsi="宋体"/>
          <w:color w:val="auto"/>
          <w:sz w:val="24"/>
          <w:szCs w:val="24"/>
        </w:rPr>
      </w:pPr>
      <w:r w:rsidRPr="00C779F4">
        <w:rPr>
          <w:rFonts w:ascii="宋体" w:hAnsi="宋体" w:hint="eastAsia"/>
          <w:color w:val="auto"/>
          <w:sz w:val="24"/>
          <w:szCs w:val="24"/>
        </w:rPr>
        <w:t>课题的</w:t>
      </w:r>
      <w:r w:rsidRPr="00C779F4">
        <w:rPr>
          <w:rFonts w:ascii="宋体" w:hAnsi="宋体"/>
          <w:color w:val="auto"/>
          <w:sz w:val="24"/>
          <w:szCs w:val="24"/>
        </w:rPr>
        <w:t>申请截止时间为</w:t>
      </w:r>
      <w:r w:rsidR="00502A51">
        <w:rPr>
          <w:rFonts w:ascii="宋体" w:hAnsi="宋体" w:hint="eastAsia"/>
          <w:color w:val="auto"/>
          <w:sz w:val="24"/>
          <w:szCs w:val="24"/>
        </w:rPr>
        <w:t>2024</w:t>
      </w:r>
      <w:r w:rsidRPr="00C779F4">
        <w:rPr>
          <w:rFonts w:ascii="宋体" w:hAnsi="宋体" w:hint="eastAsia"/>
          <w:color w:val="auto"/>
          <w:sz w:val="24"/>
          <w:szCs w:val="24"/>
        </w:rPr>
        <w:t>年</w:t>
      </w:r>
      <w:r w:rsidR="00666880">
        <w:rPr>
          <w:rFonts w:ascii="宋体" w:hAnsi="宋体"/>
          <w:color w:val="auto"/>
          <w:sz w:val="24"/>
          <w:szCs w:val="24"/>
        </w:rPr>
        <w:t>8</w:t>
      </w:r>
      <w:r w:rsidRPr="00C779F4">
        <w:rPr>
          <w:rFonts w:ascii="宋体" w:hAnsi="宋体" w:hint="eastAsia"/>
          <w:color w:val="auto"/>
          <w:sz w:val="24"/>
          <w:szCs w:val="24"/>
        </w:rPr>
        <w:t>月</w:t>
      </w:r>
      <w:r w:rsidR="00666880">
        <w:rPr>
          <w:rFonts w:ascii="宋体" w:hAnsi="宋体" w:hint="eastAsia"/>
          <w:color w:val="auto"/>
          <w:sz w:val="24"/>
          <w:szCs w:val="24"/>
        </w:rPr>
        <w:t>21</w:t>
      </w:r>
      <w:r w:rsidRPr="00C779F4">
        <w:rPr>
          <w:rFonts w:ascii="宋体" w:hAnsi="宋体" w:hint="eastAsia"/>
          <w:color w:val="auto"/>
          <w:sz w:val="24"/>
          <w:szCs w:val="24"/>
        </w:rPr>
        <w:t>日</w:t>
      </w:r>
      <w:r w:rsidRPr="00C779F4">
        <w:rPr>
          <w:rFonts w:ascii="宋体" w:hAnsi="宋体"/>
          <w:color w:val="auto"/>
          <w:sz w:val="24"/>
          <w:szCs w:val="24"/>
        </w:rPr>
        <w:t>。计划</w:t>
      </w:r>
      <w:r w:rsidRPr="00C779F4">
        <w:rPr>
          <w:rFonts w:ascii="宋体" w:hAnsi="宋体" w:hint="eastAsia"/>
          <w:color w:val="auto"/>
          <w:sz w:val="24"/>
          <w:szCs w:val="24"/>
        </w:rPr>
        <w:t>执行时间为</w:t>
      </w:r>
      <w:r w:rsidR="00502A51">
        <w:rPr>
          <w:rFonts w:ascii="宋体" w:hAnsi="宋体" w:hint="eastAsia"/>
          <w:color w:val="auto"/>
          <w:sz w:val="24"/>
          <w:szCs w:val="24"/>
        </w:rPr>
        <w:t>2024</w:t>
      </w:r>
      <w:r w:rsidRPr="00C779F4">
        <w:rPr>
          <w:rFonts w:ascii="宋体" w:hAnsi="宋体" w:hint="eastAsia"/>
          <w:color w:val="auto"/>
          <w:sz w:val="24"/>
          <w:szCs w:val="24"/>
        </w:rPr>
        <w:t>年</w:t>
      </w:r>
      <w:r w:rsidR="00666880">
        <w:rPr>
          <w:rFonts w:ascii="宋体" w:hAnsi="宋体" w:hint="eastAsia"/>
          <w:color w:val="auto"/>
          <w:sz w:val="24"/>
          <w:szCs w:val="24"/>
        </w:rPr>
        <w:t>10</w:t>
      </w:r>
      <w:r w:rsidRPr="00C779F4">
        <w:rPr>
          <w:rFonts w:ascii="宋体" w:hAnsi="宋体" w:hint="eastAsia"/>
          <w:color w:val="auto"/>
          <w:sz w:val="24"/>
          <w:szCs w:val="24"/>
        </w:rPr>
        <w:t>月</w:t>
      </w:r>
      <w:r w:rsidR="005463A1">
        <w:rPr>
          <w:rFonts w:ascii="宋体" w:hAnsi="宋体" w:hint="eastAsia"/>
          <w:color w:val="auto"/>
          <w:sz w:val="24"/>
          <w:szCs w:val="24"/>
        </w:rPr>
        <w:t>1</w:t>
      </w:r>
      <w:r w:rsidRPr="00C779F4">
        <w:rPr>
          <w:rFonts w:ascii="宋体" w:hAnsi="宋体" w:hint="eastAsia"/>
          <w:color w:val="auto"/>
          <w:sz w:val="24"/>
          <w:szCs w:val="24"/>
        </w:rPr>
        <w:t>日～</w:t>
      </w:r>
      <w:r w:rsidR="00502A51">
        <w:rPr>
          <w:rFonts w:ascii="宋体" w:hAnsi="宋体" w:hint="eastAsia"/>
          <w:color w:val="auto"/>
          <w:sz w:val="24"/>
          <w:szCs w:val="24"/>
        </w:rPr>
        <w:t>2025</w:t>
      </w:r>
      <w:r w:rsidRPr="00C779F4">
        <w:rPr>
          <w:rFonts w:ascii="宋体" w:hAnsi="宋体" w:hint="eastAsia"/>
          <w:color w:val="auto"/>
          <w:sz w:val="24"/>
          <w:szCs w:val="24"/>
        </w:rPr>
        <w:t>年</w:t>
      </w:r>
      <w:r w:rsidR="00666880">
        <w:rPr>
          <w:rFonts w:ascii="宋体" w:hAnsi="宋体" w:hint="eastAsia"/>
          <w:color w:val="auto"/>
          <w:sz w:val="24"/>
          <w:szCs w:val="24"/>
        </w:rPr>
        <w:t>9</w:t>
      </w:r>
      <w:r w:rsidRPr="00C779F4">
        <w:rPr>
          <w:rFonts w:ascii="宋体" w:hAnsi="宋体" w:hint="eastAsia"/>
          <w:color w:val="auto"/>
          <w:sz w:val="24"/>
          <w:szCs w:val="24"/>
        </w:rPr>
        <w:t>月</w:t>
      </w:r>
      <w:r w:rsidR="00666880">
        <w:rPr>
          <w:rFonts w:ascii="宋体" w:hAnsi="宋体" w:hint="eastAsia"/>
          <w:color w:val="auto"/>
          <w:sz w:val="24"/>
          <w:szCs w:val="24"/>
        </w:rPr>
        <w:t>30</w:t>
      </w:r>
      <w:r w:rsidRPr="00C779F4">
        <w:rPr>
          <w:rFonts w:ascii="宋体" w:hAnsi="宋体" w:hint="eastAsia"/>
          <w:color w:val="auto"/>
          <w:sz w:val="24"/>
          <w:szCs w:val="24"/>
        </w:rPr>
        <w:t>日</w:t>
      </w:r>
      <w:r w:rsidR="00666880">
        <w:rPr>
          <w:rFonts w:ascii="宋体" w:hAnsi="宋体" w:hint="eastAsia"/>
          <w:color w:val="auto"/>
          <w:sz w:val="24"/>
          <w:szCs w:val="24"/>
        </w:rPr>
        <w:t>。</w:t>
      </w:r>
    </w:p>
    <w:p w14:paraId="34A043DE" w14:textId="77777777" w:rsidR="00EE355C" w:rsidRPr="00C779F4" w:rsidRDefault="00B8686C">
      <w:pPr>
        <w:numPr>
          <w:ilvl w:val="0"/>
          <w:numId w:val="2"/>
        </w:numPr>
        <w:spacing w:before="0" w:after="0" w:line="440" w:lineRule="exact"/>
        <w:ind w:firstLine="480"/>
        <w:rPr>
          <w:rFonts w:ascii="宋体" w:hAnsi="宋体"/>
          <w:color w:val="auto"/>
          <w:sz w:val="24"/>
          <w:szCs w:val="24"/>
        </w:rPr>
      </w:pPr>
      <w:r w:rsidRPr="00C779F4">
        <w:rPr>
          <w:rFonts w:ascii="宋体" w:hAnsi="宋体" w:hint="eastAsia"/>
          <w:color w:val="auto"/>
          <w:sz w:val="24"/>
          <w:szCs w:val="24"/>
        </w:rPr>
        <w:t>资助课题获得的知识产权由资助方单位和</w:t>
      </w:r>
      <w:r w:rsidRPr="00C779F4">
        <w:rPr>
          <w:rFonts w:ascii="宋体" w:hAnsi="宋体"/>
          <w:color w:val="auto"/>
          <w:sz w:val="24"/>
          <w:szCs w:val="24"/>
        </w:rPr>
        <w:t>课题承担单位共同</w:t>
      </w:r>
      <w:r w:rsidRPr="00C779F4">
        <w:rPr>
          <w:rFonts w:ascii="宋体" w:hAnsi="宋体" w:hint="eastAsia"/>
          <w:color w:val="auto"/>
          <w:sz w:val="24"/>
          <w:szCs w:val="24"/>
        </w:rPr>
        <w:t>所有。</w:t>
      </w:r>
    </w:p>
    <w:p w14:paraId="0358769E" w14:textId="77777777" w:rsidR="00EE355C" w:rsidRPr="00C779F4" w:rsidRDefault="00B8686C">
      <w:pPr>
        <w:numPr>
          <w:ilvl w:val="0"/>
          <w:numId w:val="2"/>
        </w:numPr>
        <w:spacing w:before="0" w:after="0" w:line="440" w:lineRule="exact"/>
        <w:ind w:firstLine="480"/>
        <w:rPr>
          <w:rFonts w:ascii="宋体" w:hAnsi="宋体"/>
          <w:color w:val="auto"/>
          <w:sz w:val="24"/>
          <w:szCs w:val="24"/>
        </w:rPr>
      </w:pPr>
      <w:r w:rsidRPr="00C779F4">
        <w:rPr>
          <w:rFonts w:ascii="宋体" w:hAnsi="宋体" w:hint="eastAsia"/>
          <w:color w:val="auto"/>
          <w:sz w:val="24"/>
          <w:szCs w:val="24"/>
        </w:rPr>
        <w:t>课题的选题方向分为固定课题和自主课题两类：</w:t>
      </w:r>
    </w:p>
    <w:p w14:paraId="73CB2C24" w14:textId="068A7CCF" w:rsidR="00EE355C" w:rsidRPr="00C779F4" w:rsidRDefault="00B8686C" w:rsidP="00502A51">
      <w:pPr>
        <w:pStyle w:val="ae"/>
        <w:numPr>
          <w:ilvl w:val="0"/>
          <w:numId w:val="4"/>
        </w:numPr>
        <w:spacing w:before="0" w:after="0" w:line="420" w:lineRule="exact"/>
        <w:ind w:firstLineChars="0"/>
        <w:rPr>
          <w:rFonts w:ascii="宋体" w:hAnsi="宋体"/>
          <w:color w:val="auto"/>
          <w:sz w:val="24"/>
          <w:szCs w:val="24"/>
        </w:rPr>
      </w:pPr>
      <w:r w:rsidRPr="00C779F4">
        <w:rPr>
          <w:rFonts w:ascii="宋体" w:hAnsi="宋体"/>
          <w:color w:val="auto"/>
          <w:sz w:val="24"/>
          <w:szCs w:val="24"/>
        </w:rPr>
        <w:t xml:space="preserve"> </w:t>
      </w:r>
      <w:r w:rsidRPr="00C779F4">
        <w:rPr>
          <w:rFonts w:ascii="宋体" w:hAnsi="宋体" w:hint="eastAsia"/>
          <w:color w:val="auto"/>
          <w:sz w:val="24"/>
          <w:szCs w:val="24"/>
        </w:rPr>
        <w:t>固定课题：根据产业发展需要，</w:t>
      </w:r>
      <w:r w:rsidR="00502A51">
        <w:rPr>
          <w:rFonts w:ascii="宋体" w:hAnsi="宋体" w:hint="eastAsia"/>
          <w:color w:val="auto"/>
          <w:sz w:val="24"/>
          <w:szCs w:val="24"/>
        </w:rPr>
        <w:t>为</w:t>
      </w:r>
      <w:r w:rsidR="00502A51" w:rsidRPr="00502A51">
        <w:rPr>
          <w:rFonts w:ascii="宋体" w:hAnsi="宋体" w:hint="eastAsia"/>
          <w:color w:val="auto"/>
          <w:sz w:val="24"/>
          <w:szCs w:val="24"/>
        </w:rPr>
        <w:t>提升和优化企业现有产品在临床诊疗中的实际应用价值，</w:t>
      </w:r>
      <w:r w:rsidRPr="00C779F4">
        <w:rPr>
          <w:rFonts w:ascii="宋体" w:hAnsi="宋体" w:hint="eastAsia"/>
          <w:color w:val="auto"/>
          <w:sz w:val="24"/>
          <w:szCs w:val="24"/>
        </w:rPr>
        <w:t>设立相关的科研课题，申请院校从</w:t>
      </w:r>
      <w:r w:rsidR="00502A51">
        <w:rPr>
          <w:rFonts w:ascii="宋体" w:hAnsi="宋体" w:hint="eastAsia"/>
          <w:color w:val="auto"/>
          <w:sz w:val="24"/>
          <w:szCs w:val="24"/>
        </w:rPr>
        <w:t>固定课题</w:t>
      </w:r>
      <w:r w:rsidRPr="00C779F4">
        <w:rPr>
          <w:rFonts w:ascii="宋体" w:hAnsi="宋体" w:hint="eastAsia"/>
          <w:color w:val="auto"/>
          <w:sz w:val="24"/>
          <w:szCs w:val="24"/>
        </w:rPr>
        <w:t>（表一）中选择课题方向进行申报，要求</w:t>
      </w:r>
      <w:r w:rsidR="009872D1" w:rsidRPr="00C779F4">
        <w:rPr>
          <w:rFonts w:ascii="宋体" w:hAnsi="宋体" w:hint="eastAsia"/>
          <w:color w:val="auto"/>
          <w:sz w:val="24"/>
          <w:szCs w:val="24"/>
        </w:rPr>
        <w:t>基于本</w:t>
      </w:r>
      <w:r w:rsidR="009872D1" w:rsidRPr="00C779F4">
        <w:rPr>
          <w:rFonts w:ascii="宋体" w:hAnsi="宋体"/>
          <w:color w:val="auto"/>
          <w:sz w:val="24"/>
          <w:szCs w:val="24"/>
        </w:rPr>
        <w:t>专项</w:t>
      </w:r>
      <w:r w:rsidRPr="00C779F4">
        <w:rPr>
          <w:rFonts w:ascii="宋体" w:hAnsi="宋体" w:hint="eastAsia"/>
          <w:color w:val="auto"/>
          <w:sz w:val="24"/>
          <w:szCs w:val="24"/>
        </w:rPr>
        <w:t>提供的试剂和设备平台（见表三）进行研究。</w:t>
      </w:r>
    </w:p>
    <w:p w14:paraId="47A244E6" w14:textId="77777777" w:rsidR="00502A51" w:rsidRDefault="00502A51" w:rsidP="00502A51">
      <w:pPr>
        <w:pStyle w:val="ae"/>
        <w:spacing w:before="0" w:after="0" w:line="360" w:lineRule="auto"/>
        <w:ind w:left="840" w:firstLineChars="850" w:firstLine="2040"/>
        <w:rPr>
          <w:rFonts w:ascii="宋体" w:hAnsi="宋体"/>
          <w:color w:val="auto"/>
          <w:sz w:val="24"/>
          <w:szCs w:val="24"/>
        </w:rPr>
      </w:pPr>
    </w:p>
    <w:p w14:paraId="530A1CAB" w14:textId="3DF6FF05" w:rsidR="00502A51" w:rsidRPr="00502A51" w:rsidRDefault="00502A51" w:rsidP="00502A51">
      <w:pPr>
        <w:pStyle w:val="ae"/>
        <w:spacing w:before="0" w:after="0" w:line="360" w:lineRule="auto"/>
        <w:ind w:left="840" w:firstLineChars="850" w:firstLine="2048"/>
        <w:rPr>
          <w:sz w:val="24"/>
          <w:szCs w:val="24"/>
        </w:rPr>
      </w:pPr>
      <w:r w:rsidRPr="00502A51">
        <w:rPr>
          <w:rFonts w:hint="eastAsia"/>
          <w:b/>
          <w:sz w:val="24"/>
          <w:szCs w:val="24"/>
        </w:rPr>
        <w:t>表</w:t>
      </w:r>
      <w:proofErr w:type="gramStart"/>
      <w:r w:rsidRPr="00502A51">
        <w:rPr>
          <w:rFonts w:hint="eastAsia"/>
          <w:b/>
          <w:sz w:val="24"/>
          <w:szCs w:val="24"/>
        </w:rPr>
        <w:t>一</w:t>
      </w:r>
      <w:proofErr w:type="gramEnd"/>
      <w:r w:rsidRPr="00502A51">
        <w:rPr>
          <w:rFonts w:hint="eastAsia"/>
          <w:b/>
          <w:sz w:val="24"/>
          <w:szCs w:val="24"/>
        </w:rPr>
        <w:t xml:space="preserve"> </w:t>
      </w:r>
      <w:r w:rsidRPr="00502A51">
        <w:rPr>
          <w:rFonts w:hint="eastAsia"/>
          <w:b/>
          <w:sz w:val="24"/>
          <w:szCs w:val="24"/>
        </w:rPr>
        <w:t>固定课题选题列表</w:t>
      </w: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2390"/>
        <w:gridCol w:w="5846"/>
      </w:tblGrid>
      <w:tr w:rsidR="00502A51" w:rsidRPr="00F32887" w14:paraId="6AA652B6" w14:textId="77777777" w:rsidTr="0090575B">
        <w:trPr>
          <w:trHeight w:val="437"/>
          <w:jc w:val="center"/>
        </w:trPr>
        <w:tc>
          <w:tcPr>
            <w:tcW w:w="1149" w:type="dxa"/>
            <w:tcBorders>
              <w:top w:val="single" w:sz="4" w:space="0" w:color="auto"/>
              <w:left w:val="single" w:sz="4" w:space="0" w:color="auto"/>
              <w:bottom w:val="single" w:sz="4" w:space="0" w:color="auto"/>
              <w:right w:val="single" w:sz="4" w:space="0" w:color="auto"/>
            </w:tcBorders>
            <w:shd w:val="clear" w:color="auto" w:fill="BFBFBF"/>
            <w:vAlign w:val="center"/>
          </w:tcPr>
          <w:p w14:paraId="45FAA37D" w14:textId="77777777" w:rsidR="00502A51" w:rsidRPr="00F32887" w:rsidRDefault="00502A51" w:rsidP="0090575B">
            <w:pPr>
              <w:spacing w:line="360" w:lineRule="auto"/>
              <w:ind w:firstLineChars="9" w:firstLine="19"/>
              <w:jc w:val="center"/>
              <w:rPr>
                <w:rFonts w:cs="宋体"/>
                <w:b/>
                <w:szCs w:val="21"/>
              </w:rPr>
            </w:pPr>
            <w:r w:rsidRPr="00F32887">
              <w:rPr>
                <w:rFonts w:cs="宋体" w:hint="eastAsia"/>
                <w:b/>
                <w:szCs w:val="21"/>
              </w:rPr>
              <w:t>方向编号</w:t>
            </w:r>
          </w:p>
        </w:tc>
        <w:tc>
          <w:tcPr>
            <w:tcW w:w="239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3B5EC44F" w14:textId="77777777" w:rsidR="00502A51" w:rsidRPr="00F32887" w:rsidRDefault="00502A51" w:rsidP="0090575B">
            <w:pPr>
              <w:spacing w:line="360" w:lineRule="auto"/>
              <w:ind w:firstLineChars="18" w:firstLine="38"/>
              <w:jc w:val="center"/>
              <w:rPr>
                <w:rFonts w:cs="宋体"/>
                <w:b/>
                <w:szCs w:val="21"/>
              </w:rPr>
            </w:pPr>
            <w:r w:rsidRPr="00F32887">
              <w:rPr>
                <w:rFonts w:cs="宋体" w:hint="eastAsia"/>
                <w:b/>
                <w:szCs w:val="21"/>
              </w:rPr>
              <w:t>课题方向</w:t>
            </w:r>
          </w:p>
        </w:tc>
        <w:tc>
          <w:tcPr>
            <w:tcW w:w="5846"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3D9DD2A1" w14:textId="77777777" w:rsidR="00502A51" w:rsidRPr="00F32887" w:rsidRDefault="00502A51" w:rsidP="0090575B">
            <w:pPr>
              <w:spacing w:line="360" w:lineRule="auto"/>
              <w:ind w:firstLineChars="18" w:firstLine="38"/>
              <w:jc w:val="center"/>
              <w:rPr>
                <w:rFonts w:cs="宋体"/>
                <w:b/>
                <w:szCs w:val="21"/>
              </w:rPr>
            </w:pPr>
            <w:r w:rsidRPr="00F32887">
              <w:rPr>
                <w:rFonts w:cs="宋体" w:hint="eastAsia"/>
                <w:b/>
                <w:szCs w:val="21"/>
              </w:rPr>
              <w:t>课题研究内容</w:t>
            </w:r>
          </w:p>
        </w:tc>
      </w:tr>
      <w:tr w:rsidR="00502A51" w:rsidRPr="00F32887" w14:paraId="24B16A20" w14:textId="77777777" w:rsidTr="0090575B">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09C0035C"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t>A01</w:t>
            </w:r>
          </w:p>
        </w:tc>
        <w:tc>
          <w:tcPr>
            <w:tcW w:w="2390" w:type="dxa"/>
            <w:tcBorders>
              <w:top w:val="single" w:sz="4" w:space="0" w:color="auto"/>
              <w:left w:val="single" w:sz="4" w:space="0" w:color="auto"/>
              <w:bottom w:val="single" w:sz="4" w:space="0" w:color="auto"/>
              <w:right w:val="single" w:sz="4" w:space="0" w:color="auto"/>
            </w:tcBorders>
            <w:noWrap/>
            <w:vAlign w:val="center"/>
          </w:tcPr>
          <w:p w14:paraId="264DA1D6" w14:textId="77777777" w:rsidR="00502A51" w:rsidRPr="00F32887" w:rsidRDefault="00502A51" w:rsidP="0090575B">
            <w:pPr>
              <w:spacing w:beforeLines="50" w:before="156" w:afterLines="50" w:after="156" w:line="360" w:lineRule="auto"/>
              <w:ind w:firstLineChars="0" w:firstLine="0"/>
              <w:rPr>
                <w:rFonts w:eastAsiaTheme="minorEastAsia" w:cstheme="minorEastAsia"/>
                <w:sz w:val="24"/>
                <w:szCs w:val="24"/>
              </w:rPr>
            </w:pPr>
            <w:r w:rsidRPr="00F32887">
              <w:rPr>
                <w:rFonts w:eastAsiaTheme="minorEastAsia" w:cstheme="minorEastAsia" w:hint="eastAsia"/>
                <w:sz w:val="24"/>
                <w:szCs w:val="24"/>
              </w:rPr>
              <w:t>免疫：新型感染标志物在感染性疾病诊断、用药及预后的临床应用研究</w:t>
            </w:r>
          </w:p>
        </w:tc>
        <w:tc>
          <w:tcPr>
            <w:tcW w:w="5846" w:type="dxa"/>
            <w:tcBorders>
              <w:top w:val="single" w:sz="4" w:space="0" w:color="auto"/>
              <w:left w:val="single" w:sz="4" w:space="0" w:color="auto"/>
              <w:bottom w:val="single" w:sz="4" w:space="0" w:color="auto"/>
              <w:right w:val="single" w:sz="4" w:space="0" w:color="auto"/>
            </w:tcBorders>
            <w:noWrap/>
            <w:vAlign w:val="center"/>
          </w:tcPr>
          <w:p w14:paraId="0B46582D"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本研究基于新型化学发光法检测的感染标志物在感染性疾病诊断、用药及预后的临床应用价值，并验证其临床诊疗及预后的价值，通过比较新型感染标志物与传统感染标志物在诊断准确性、敏感性和特异性等方面的差异，以及在治疗效果及预后评估等方面的价值，构建基于新型感染标志物的诊断及预后评估模型，为临床决策提供依据。</w:t>
            </w:r>
          </w:p>
        </w:tc>
      </w:tr>
      <w:tr w:rsidR="00502A51" w:rsidRPr="00F32887" w14:paraId="7D22F66F" w14:textId="77777777" w:rsidTr="0090575B">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454114CF"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t>A02</w:t>
            </w:r>
          </w:p>
        </w:tc>
        <w:tc>
          <w:tcPr>
            <w:tcW w:w="2390" w:type="dxa"/>
            <w:tcBorders>
              <w:top w:val="single" w:sz="4" w:space="0" w:color="auto"/>
              <w:left w:val="single" w:sz="4" w:space="0" w:color="auto"/>
              <w:bottom w:val="single" w:sz="4" w:space="0" w:color="auto"/>
              <w:right w:val="single" w:sz="4" w:space="0" w:color="auto"/>
            </w:tcBorders>
            <w:noWrap/>
            <w:vAlign w:val="center"/>
          </w:tcPr>
          <w:p w14:paraId="6CC8121A"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免疫：新型传染性疾病标志物在传染病诊断、用药及预后的临床应用研究</w:t>
            </w:r>
          </w:p>
        </w:tc>
        <w:tc>
          <w:tcPr>
            <w:tcW w:w="5846" w:type="dxa"/>
            <w:tcBorders>
              <w:top w:val="single" w:sz="4" w:space="0" w:color="auto"/>
              <w:left w:val="single" w:sz="4" w:space="0" w:color="auto"/>
              <w:bottom w:val="single" w:sz="4" w:space="0" w:color="auto"/>
              <w:right w:val="single" w:sz="4" w:space="0" w:color="auto"/>
            </w:tcBorders>
            <w:noWrap/>
            <w:vAlign w:val="center"/>
          </w:tcPr>
          <w:p w14:paraId="526B6588"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本研究围绕传染性疾病患者全程管理的临床诊疗需求，通过新型传染性疾病标志物（</w:t>
            </w:r>
            <w:proofErr w:type="spellStart"/>
            <w:r w:rsidRPr="00F32887">
              <w:rPr>
                <w:rFonts w:eastAsiaTheme="minorEastAsia" w:cstheme="minorEastAsia" w:hint="eastAsia"/>
                <w:sz w:val="24"/>
                <w:szCs w:val="24"/>
              </w:rPr>
              <w:t>HBcrAg</w:t>
            </w:r>
            <w:proofErr w:type="spellEnd"/>
            <w:r w:rsidRPr="00F32887">
              <w:rPr>
                <w:rFonts w:eastAsiaTheme="minorEastAsia" w:cstheme="minorEastAsia" w:hint="eastAsia"/>
                <w:sz w:val="24"/>
                <w:szCs w:val="24"/>
              </w:rPr>
              <w:t>等）与其他标志物联合建立诊断、停药后复发及并发症发生的预测模型，对患者进行风险分层，辅助决策患者是否需要接受针对性治疗及评估患者的治疗效果；为停药决策提供精准判断依据。</w:t>
            </w:r>
          </w:p>
        </w:tc>
      </w:tr>
      <w:tr w:rsidR="00502A51" w:rsidRPr="00F32887" w14:paraId="4843C53F" w14:textId="77777777" w:rsidTr="0090575B">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4154ECF8"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t>A03</w:t>
            </w:r>
          </w:p>
        </w:tc>
        <w:tc>
          <w:tcPr>
            <w:tcW w:w="2390" w:type="dxa"/>
            <w:tcBorders>
              <w:top w:val="single" w:sz="4" w:space="0" w:color="auto"/>
              <w:left w:val="single" w:sz="4" w:space="0" w:color="auto"/>
              <w:bottom w:val="single" w:sz="4" w:space="0" w:color="auto"/>
              <w:right w:val="single" w:sz="4" w:space="0" w:color="auto"/>
            </w:tcBorders>
            <w:noWrap/>
            <w:vAlign w:val="center"/>
          </w:tcPr>
          <w:p w14:paraId="7213CE9E" w14:textId="77777777" w:rsidR="00502A51" w:rsidRPr="00F32887" w:rsidRDefault="00502A51" w:rsidP="0090575B">
            <w:pPr>
              <w:spacing w:beforeLines="50" w:before="156" w:afterLines="50" w:after="156" w:line="360" w:lineRule="auto"/>
              <w:ind w:firstLineChars="0" w:firstLine="0"/>
              <w:rPr>
                <w:rFonts w:eastAsiaTheme="minorEastAsia" w:cstheme="minorEastAsia"/>
                <w:sz w:val="24"/>
                <w:szCs w:val="24"/>
              </w:rPr>
            </w:pPr>
            <w:r w:rsidRPr="00F32887">
              <w:rPr>
                <w:rFonts w:eastAsiaTheme="minorEastAsia" w:cstheme="minorEastAsia" w:hint="eastAsia"/>
                <w:sz w:val="24"/>
                <w:szCs w:val="24"/>
              </w:rPr>
              <w:t>免疫：肿瘤标志物在肿瘤疾病中预防、诊断、疗效及预后的临床应用研究</w:t>
            </w:r>
          </w:p>
        </w:tc>
        <w:tc>
          <w:tcPr>
            <w:tcW w:w="5846" w:type="dxa"/>
            <w:tcBorders>
              <w:top w:val="single" w:sz="4" w:space="0" w:color="auto"/>
              <w:left w:val="single" w:sz="4" w:space="0" w:color="auto"/>
              <w:bottom w:val="single" w:sz="4" w:space="0" w:color="auto"/>
              <w:right w:val="single" w:sz="4" w:space="0" w:color="auto"/>
            </w:tcBorders>
            <w:noWrap/>
            <w:vAlign w:val="center"/>
          </w:tcPr>
          <w:p w14:paraId="7CEA6C25"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本研究围绕我国肿瘤患者全程管理的临床诊疗需求，探讨化学发光法检测的肿瘤新标志物的病理、生理影响因素和检测干扰因素，确定利用肿瘤标志</w:t>
            </w:r>
            <w:proofErr w:type="gramStart"/>
            <w:r w:rsidRPr="00F32887">
              <w:rPr>
                <w:rFonts w:eastAsiaTheme="minorEastAsia" w:cstheme="minorEastAsia" w:hint="eastAsia"/>
                <w:sz w:val="24"/>
                <w:szCs w:val="24"/>
              </w:rPr>
              <w:t>物开展</w:t>
            </w:r>
            <w:proofErr w:type="gramEnd"/>
            <w:r w:rsidRPr="00F32887">
              <w:rPr>
                <w:rFonts w:eastAsiaTheme="minorEastAsia" w:cstheme="minorEastAsia" w:hint="eastAsia"/>
                <w:sz w:val="24"/>
                <w:szCs w:val="24"/>
              </w:rPr>
              <w:t>肿瘤筛查的指征、参考范围和诊断价值，为实现我国肿瘤患者的早期诊断和精准治疗提供新依据。</w:t>
            </w:r>
          </w:p>
        </w:tc>
      </w:tr>
      <w:tr w:rsidR="00502A51" w:rsidRPr="00F32887" w14:paraId="5354D38B" w14:textId="77777777" w:rsidTr="0090575B">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6AF2DAD3"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t>A04</w:t>
            </w:r>
          </w:p>
        </w:tc>
        <w:tc>
          <w:tcPr>
            <w:tcW w:w="2390" w:type="dxa"/>
            <w:tcBorders>
              <w:top w:val="single" w:sz="4" w:space="0" w:color="auto"/>
              <w:left w:val="single" w:sz="4" w:space="0" w:color="auto"/>
              <w:bottom w:val="single" w:sz="4" w:space="0" w:color="auto"/>
              <w:right w:val="single" w:sz="4" w:space="0" w:color="auto"/>
            </w:tcBorders>
            <w:noWrap/>
            <w:vAlign w:val="center"/>
          </w:tcPr>
          <w:p w14:paraId="01C1C1CC"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免疫：临床多疾病场景下甲状腺疾病精准筛查及病情评估</w:t>
            </w:r>
          </w:p>
        </w:tc>
        <w:tc>
          <w:tcPr>
            <w:tcW w:w="5846" w:type="dxa"/>
            <w:tcBorders>
              <w:top w:val="single" w:sz="4" w:space="0" w:color="auto"/>
              <w:left w:val="single" w:sz="4" w:space="0" w:color="auto"/>
              <w:bottom w:val="single" w:sz="4" w:space="0" w:color="auto"/>
              <w:right w:val="single" w:sz="4" w:space="0" w:color="auto"/>
            </w:tcBorders>
            <w:noWrap/>
            <w:vAlign w:val="center"/>
          </w:tcPr>
          <w:p w14:paraId="01346D61"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本研究将分析现有的甲状腺疾病筛查方法的优缺点及适用范围，包括血清甲状腺激素水平检测、甲状腺超声检查、细针穿刺活检等，并在此基础上探索新型的筛查方法以期提高甲状腺疾病的筛查精度和效率。同时围绕不同人群及疾病场景下甲状腺疾病全程管理的临床</w:t>
            </w:r>
            <w:r w:rsidRPr="00F32887">
              <w:rPr>
                <w:rFonts w:eastAsiaTheme="minorEastAsia" w:cstheme="minorEastAsia" w:hint="eastAsia"/>
                <w:sz w:val="24"/>
                <w:szCs w:val="24"/>
              </w:rPr>
              <w:lastRenderedPageBreak/>
              <w:t>诊疗需求，构建基于多模态数据的甲状腺疾病诊断模型，并进一步研究甲状腺疾病的病情评估体系，包括评估指标的选取、评估标准的制定以及评估方法的优化。同时探索将病情评估与患者的生活质量、预后等因素相结合，以提供全面的病情评估结果。并通过分析大量甲状腺疾病患者的数据，构建基于大数据的预测模型，以预测患者的疾病发展趋势、治疗效果、参考</w:t>
            </w:r>
            <w:proofErr w:type="gramStart"/>
            <w:r w:rsidRPr="00F32887">
              <w:rPr>
                <w:rFonts w:eastAsiaTheme="minorEastAsia" w:cstheme="minorEastAsia" w:hint="eastAsia"/>
                <w:sz w:val="24"/>
                <w:szCs w:val="24"/>
              </w:rPr>
              <w:t>值制定</w:t>
            </w:r>
            <w:proofErr w:type="gramEnd"/>
            <w:r w:rsidRPr="00F32887">
              <w:rPr>
                <w:rFonts w:eastAsiaTheme="minorEastAsia" w:cstheme="minorEastAsia" w:hint="eastAsia"/>
                <w:sz w:val="24"/>
                <w:szCs w:val="24"/>
              </w:rPr>
              <w:t>和共识指南的修订等提供参考依据。</w:t>
            </w:r>
          </w:p>
        </w:tc>
      </w:tr>
      <w:tr w:rsidR="00502A51" w:rsidRPr="00F32887" w14:paraId="5447F095" w14:textId="77777777" w:rsidTr="0090575B">
        <w:trPr>
          <w:trHeight w:val="408"/>
          <w:jc w:val="center"/>
        </w:trPr>
        <w:tc>
          <w:tcPr>
            <w:tcW w:w="1149" w:type="dxa"/>
            <w:tcBorders>
              <w:top w:val="single" w:sz="4" w:space="0" w:color="auto"/>
              <w:left w:val="single" w:sz="4" w:space="0" w:color="auto"/>
              <w:bottom w:val="single" w:sz="4" w:space="0" w:color="auto"/>
              <w:right w:val="single" w:sz="4" w:space="0" w:color="auto"/>
            </w:tcBorders>
            <w:vAlign w:val="center"/>
          </w:tcPr>
          <w:p w14:paraId="784459E6"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lastRenderedPageBreak/>
              <w:t>A05</w:t>
            </w:r>
          </w:p>
        </w:tc>
        <w:tc>
          <w:tcPr>
            <w:tcW w:w="2390" w:type="dxa"/>
            <w:tcBorders>
              <w:top w:val="single" w:sz="4" w:space="0" w:color="auto"/>
              <w:left w:val="single" w:sz="4" w:space="0" w:color="auto"/>
              <w:bottom w:val="single" w:sz="4" w:space="0" w:color="auto"/>
              <w:right w:val="single" w:sz="4" w:space="0" w:color="auto"/>
            </w:tcBorders>
            <w:noWrap/>
            <w:vAlign w:val="center"/>
          </w:tcPr>
          <w:p w14:paraId="7139B48D"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免疫：内分泌激素在生长发育或妊娠相关疾病的诊疗价值研究</w:t>
            </w:r>
          </w:p>
        </w:tc>
        <w:tc>
          <w:tcPr>
            <w:tcW w:w="5846" w:type="dxa"/>
            <w:tcBorders>
              <w:top w:val="single" w:sz="4" w:space="0" w:color="auto"/>
              <w:left w:val="single" w:sz="4" w:space="0" w:color="auto"/>
              <w:bottom w:val="single" w:sz="4" w:space="0" w:color="auto"/>
              <w:right w:val="single" w:sz="4" w:space="0" w:color="auto"/>
            </w:tcBorders>
            <w:noWrap/>
            <w:vAlign w:val="center"/>
          </w:tcPr>
          <w:p w14:paraId="4DD089EC" w14:textId="77777777" w:rsidR="00502A51" w:rsidRPr="00F32887" w:rsidRDefault="00502A51" w:rsidP="0090575B">
            <w:pPr>
              <w:pStyle w:val="a3"/>
              <w:spacing w:line="360" w:lineRule="auto"/>
              <w:ind w:firstLine="480"/>
              <w:rPr>
                <w:rFonts w:eastAsiaTheme="minorEastAsia" w:cstheme="minorEastAsia"/>
                <w:sz w:val="24"/>
                <w:szCs w:val="24"/>
              </w:rPr>
            </w:pPr>
            <w:r w:rsidRPr="00F32887">
              <w:rPr>
                <w:rFonts w:eastAsiaTheme="minorEastAsia" w:cstheme="minorEastAsia" w:hint="eastAsia"/>
                <w:sz w:val="24"/>
                <w:szCs w:val="24"/>
              </w:rPr>
              <w:t>本研究围绕特定人群（包括新生儿、婴幼儿、青少年及孕妇）在生长发育或妊娠相关疾病的诊疗需求，深入探讨生长发育相关内分泌激素（生长激素、雌激素、雄激素等）在儿童生长发育及妊娠阶段生理学、病理生理学的变化因素以及免疫检测方法学特异性的影响因素，最终确定相关疾病标志物的分析性能及临床性能验证，为妊娠期和儿童生长发育阶段的内分泌失调的早期诊断和个体化治疗提供科学依据。</w:t>
            </w:r>
          </w:p>
        </w:tc>
      </w:tr>
      <w:tr w:rsidR="00502A51" w:rsidRPr="00F32887" w14:paraId="65120CAB" w14:textId="77777777" w:rsidTr="0090575B">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66E579C4"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t>A06</w:t>
            </w:r>
          </w:p>
        </w:tc>
        <w:tc>
          <w:tcPr>
            <w:tcW w:w="2390" w:type="dxa"/>
            <w:tcBorders>
              <w:top w:val="single" w:sz="4" w:space="0" w:color="auto"/>
              <w:left w:val="single" w:sz="4" w:space="0" w:color="auto"/>
              <w:bottom w:val="single" w:sz="4" w:space="0" w:color="auto"/>
              <w:right w:val="single" w:sz="4" w:space="0" w:color="auto"/>
            </w:tcBorders>
            <w:noWrap/>
            <w:vAlign w:val="center"/>
          </w:tcPr>
          <w:p w14:paraId="0C7D34CA"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免疫：心脏标志物在心血管疾病风险预测、诊断、疗效与预后评估的应用研究</w:t>
            </w:r>
          </w:p>
        </w:tc>
        <w:tc>
          <w:tcPr>
            <w:tcW w:w="5846" w:type="dxa"/>
            <w:tcBorders>
              <w:top w:val="single" w:sz="4" w:space="0" w:color="auto"/>
              <w:left w:val="single" w:sz="4" w:space="0" w:color="auto"/>
              <w:bottom w:val="single" w:sz="4" w:space="0" w:color="auto"/>
              <w:right w:val="single" w:sz="4" w:space="0" w:color="auto"/>
            </w:tcBorders>
            <w:noWrap/>
            <w:vAlign w:val="center"/>
          </w:tcPr>
          <w:p w14:paraId="3A5EE207"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本研究探讨心脏标志（</w:t>
            </w:r>
            <w:r w:rsidRPr="00F32887">
              <w:rPr>
                <w:rFonts w:eastAsiaTheme="minorEastAsia" w:cstheme="minorEastAsia" w:hint="eastAsia"/>
                <w:sz w:val="24"/>
                <w:szCs w:val="24"/>
              </w:rPr>
              <w:t>BNP</w:t>
            </w:r>
            <w:r w:rsidRPr="00F32887">
              <w:rPr>
                <w:rFonts w:eastAsiaTheme="minorEastAsia" w:cstheme="minorEastAsia" w:hint="eastAsia"/>
                <w:sz w:val="24"/>
                <w:szCs w:val="24"/>
              </w:rPr>
              <w:t>、</w:t>
            </w:r>
            <w:r w:rsidRPr="00F32887">
              <w:rPr>
                <w:rFonts w:eastAsiaTheme="minorEastAsia" w:cstheme="minorEastAsia" w:hint="eastAsia"/>
                <w:sz w:val="24"/>
                <w:szCs w:val="24"/>
              </w:rPr>
              <w:t>NT-</w:t>
            </w:r>
            <w:proofErr w:type="spellStart"/>
            <w:r w:rsidRPr="00F32887">
              <w:rPr>
                <w:rFonts w:eastAsiaTheme="minorEastAsia" w:cstheme="minorEastAsia" w:hint="eastAsia"/>
                <w:sz w:val="24"/>
                <w:szCs w:val="24"/>
              </w:rPr>
              <w:t>proBNP</w:t>
            </w:r>
            <w:proofErr w:type="spellEnd"/>
            <w:r w:rsidRPr="00F32887">
              <w:rPr>
                <w:rFonts w:eastAsiaTheme="minorEastAsia" w:cstheme="minorEastAsia" w:hint="eastAsia"/>
                <w:sz w:val="24"/>
                <w:szCs w:val="24"/>
              </w:rPr>
              <w:t>、</w:t>
            </w:r>
            <w:proofErr w:type="spellStart"/>
            <w:r w:rsidRPr="00F32887">
              <w:rPr>
                <w:rFonts w:eastAsiaTheme="minorEastAsia" w:cstheme="minorEastAsia" w:hint="eastAsia"/>
                <w:sz w:val="24"/>
                <w:szCs w:val="24"/>
              </w:rPr>
              <w:t>hs-cTnI</w:t>
            </w:r>
            <w:proofErr w:type="spellEnd"/>
            <w:r w:rsidRPr="00F32887">
              <w:rPr>
                <w:rFonts w:eastAsiaTheme="minorEastAsia" w:cstheme="minorEastAsia" w:hint="eastAsia"/>
                <w:sz w:val="24"/>
                <w:szCs w:val="24"/>
              </w:rPr>
              <w:t>等）在高血压、糖尿病、慢性肾病、高脂血症等患者中发生不良心血管事件的筛查指征、参考范围、诊断价值，为优化不同人群心血管事件的预测、诊断、疗效与预后评估提供科学依据。</w:t>
            </w:r>
          </w:p>
        </w:tc>
      </w:tr>
      <w:tr w:rsidR="00502A51" w:rsidRPr="00F32887" w14:paraId="0E7810B0" w14:textId="77777777" w:rsidTr="0090575B">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007CEC11"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t>A07</w:t>
            </w:r>
          </w:p>
        </w:tc>
        <w:tc>
          <w:tcPr>
            <w:tcW w:w="2390" w:type="dxa"/>
            <w:tcBorders>
              <w:top w:val="single" w:sz="4" w:space="0" w:color="auto"/>
              <w:left w:val="single" w:sz="4" w:space="0" w:color="auto"/>
              <w:bottom w:val="single" w:sz="4" w:space="0" w:color="auto"/>
              <w:right w:val="single" w:sz="4" w:space="0" w:color="auto"/>
            </w:tcBorders>
            <w:noWrap/>
            <w:vAlign w:val="center"/>
          </w:tcPr>
          <w:p w14:paraId="537909E3"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凝血：易</w:t>
            </w:r>
            <w:proofErr w:type="gramStart"/>
            <w:r w:rsidRPr="00F32887">
              <w:rPr>
                <w:rFonts w:eastAsiaTheme="minorEastAsia" w:cstheme="minorEastAsia" w:hint="eastAsia"/>
                <w:sz w:val="24"/>
                <w:szCs w:val="24"/>
              </w:rPr>
              <w:t>栓</w:t>
            </w:r>
            <w:proofErr w:type="gramEnd"/>
            <w:r w:rsidRPr="00F32887">
              <w:rPr>
                <w:rFonts w:eastAsiaTheme="minorEastAsia" w:cstheme="minorEastAsia" w:hint="eastAsia"/>
                <w:sz w:val="24"/>
                <w:szCs w:val="24"/>
              </w:rPr>
              <w:t>症标志物的诊断效能研究</w:t>
            </w:r>
          </w:p>
        </w:tc>
        <w:tc>
          <w:tcPr>
            <w:tcW w:w="5846" w:type="dxa"/>
            <w:tcBorders>
              <w:top w:val="single" w:sz="4" w:space="0" w:color="auto"/>
              <w:left w:val="single" w:sz="4" w:space="0" w:color="auto"/>
              <w:bottom w:val="single" w:sz="4" w:space="0" w:color="auto"/>
              <w:right w:val="single" w:sz="4" w:space="0" w:color="auto"/>
            </w:tcBorders>
            <w:noWrap/>
            <w:vAlign w:val="center"/>
          </w:tcPr>
          <w:p w14:paraId="657D2EC4"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本研究以血栓高风险人群（包含妊娠期、抗磷脂综合征患者、复发性流产患者、不明原因动静脉血栓患者或少见部位血栓患者等）为研究对象，探讨凝血，抗凝等指标在血栓高风险人群的诊断价值，为疾病精准化诊断和治疗提供依据。</w:t>
            </w:r>
          </w:p>
        </w:tc>
      </w:tr>
      <w:tr w:rsidR="00502A51" w:rsidRPr="00F32887" w14:paraId="4065A05C" w14:textId="77777777" w:rsidTr="0090575B">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2F24F09A"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lastRenderedPageBreak/>
              <w:t>A08</w:t>
            </w:r>
          </w:p>
        </w:tc>
        <w:tc>
          <w:tcPr>
            <w:tcW w:w="2390" w:type="dxa"/>
            <w:tcBorders>
              <w:top w:val="single" w:sz="4" w:space="0" w:color="auto"/>
              <w:left w:val="single" w:sz="4" w:space="0" w:color="auto"/>
              <w:bottom w:val="single" w:sz="4" w:space="0" w:color="auto"/>
              <w:right w:val="single" w:sz="4" w:space="0" w:color="auto"/>
            </w:tcBorders>
            <w:noWrap/>
            <w:vAlign w:val="center"/>
          </w:tcPr>
          <w:p w14:paraId="372F146B"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凝血：凝血指标在静脉血栓栓塞症诊断及治疗监测的临床价值研究</w:t>
            </w:r>
          </w:p>
        </w:tc>
        <w:tc>
          <w:tcPr>
            <w:tcW w:w="5846" w:type="dxa"/>
            <w:tcBorders>
              <w:top w:val="single" w:sz="4" w:space="0" w:color="auto"/>
              <w:left w:val="single" w:sz="4" w:space="0" w:color="auto"/>
              <w:bottom w:val="single" w:sz="4" w:space="0" w:color="auto"/>
              <w:right w:val="single" w:sz="4" w:space="0" w:color="auto"/>
            </w:tcBorders>
            <w:noWrap/>
            <w:vAlign w:val="center"/>
          </w:tcPr>
          <w:p w14:paraId="242F29DC"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本研究探索凝血指标在临床常用溶栓药物（如</w:t>
            </w:r>
            <w:proofErr w:type="gramStart"/>
            <w:r w:rsidRPr="00F32887">
              <w:rPr>
                <w:rFonts w:eastAsiaTheme="minorEastAsia" w:cstheme="minorEastAsia" w:hint="eastAsia"/>
                <w:sz w:val="24"/>
                <w:szCs w:val="24"/>
              </w:rPr>
              <w:t>阿替普酶</w:t>
            </w:r>
            <w:proofErr w:type="gramEnd"/>
            <w:r w:rsidRPr="00F32887">
              <w:rPr>
                <w:rFonts w:eastAsiaTheme="minorEastAsia" w:cstheme="minorEastAsia" w:hint="eastAsia"/>
                <w:sz w:val="24"/>
                <w:szCs w:val="24"/>
              </w:rPr>
              <w:t>等）治疗前后变化规律，为个性化溶栓治疗提供依据。</w:t>
            </w:r>
          </w:p>
        </w:tc>
      </w:tr>
      <w:tr w:rsidR="00502A51" w:rsidRPr="00F32887" w14:paraId="63EB6D91" w14:textId="77777777" w:rsidTr="0090575B">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15C5AF2F"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t>A09</w:t>
            </w:r>
          </w:p>
        </w:tc>
        <w:tc>
          <w:tcPr>
            <w:tcW w:w="2390" w:type="dxa"/>
            <w:tcBorders>
              <w:top w:val="single" w:sz="4" w:space="0" w:color="auto"/>
              <w:left w:val="single" w:sz="4" w:space="0" w:color="auto"/>
              <w:bottom w:val="single" w:sz="4" w:space="0" w:color="auto"/>
              <w:right w:val="single" w:sz="4" w:space="0" w:color="auto"/>
            </w:tcBorders>
            <w:noWrap/>
            <w:vAlign w:val="center"/>
          </w:tcPr>
          <w:p w14:paraId="5BDE55AB"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凝血：凝血分析</w:t>
            </w:r>
            <w:proofErr w:type="gramStart"/>
            <w:r w:rsidRPr="00F32887">
              <w:rPr>
                <w:rFonts w:eastAsiaTheme="minorEastAsia" w:cstheme="minorEastAsia" w:hint="eastAsia"/>
                <w:sz w:val="24"/>
                <w:szCs w:val="24"/>
              </w:rPr>
              <w:t>仪专家</w:t>
            </w:r>
            <w:proofErr w:type="gramEnd"/>
            <w:r w:rsidRPr="00F32887">
              <w:rPr>
                <w:rFonts w:eastAsiaTheme="minorEastAsia" w:cstheme="minorEastAsia" w:hint="eastAsia"/>
                <w:sz w:val="24"/>
                <w:szCs w:val="24"/>
              </w:rPr>
              <w:t>解读平台案例库建设与评价</w:t>
            </w:r>
          </w:p>
        </w:tc>
        <w:tc>
          <w:tcPr>
            <w:tcW w:w="5846" w:type="dxa"/>
            <w:tcBorders>
              <w:top w:val="single" w:sz="4" w:space="0" w:color="auto"/>
              <w:left w:val="single" w:sz="4" w:space="0" w:color="auto"/>
              <w:bottom w:val="single" w:sz="4" w:space="0" w:color="auto"/>
              <w:right w:val="single" w:sz="4" w:space="0" w:color="auto"/>
            </w:tcBorders>
            <w:noWrap/>
            <w:vAlign w:val="center"/>
          </w:tcPr>
          <w:p w14:paraId="7B8978C7"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本研究通过收集各个临床科室真实、详尽、经典的案例，关联常见血栓、止血指标检测的原理和技术，构建以患者结果为导向、以教学相长为目的的出凝血相关案例库，搭建检验科医生专业的血栓与止血学习平台，为检验科审核报告提供借鉴。</w:t>
            </w:r>
          </w:p>
        </w:tc>
      </w:tr>
      <w:tr w:rsidR="00502A51" w:rsidRPr="00F32887" w14:paraId="7281D782" w14:textId="77777777" w:rsidTr="0090575B">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59D73681"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t>A10</w:t>
            </w:r>
          </w:p>
        </w:tc>
        <w:tc>
          <w:tcPr>
            <w:tcW w:w="2390" w:type="dxa"/>
            <w:tcBorders>
              <w:top w:val="single" w:sz="4" w:space="0" w:color="auto"/>
              <w:left w:val="single" w:sz="4" w:space="0" w:color="auto"/>
              <w:bottom w:val="single" w:sz="4" w:space="0" w:color="auto"/>
              <w:right w:val="single" w:sz="4" w:space="0" w:color="auto"/>
            </w:tcBorders>
            <w:noWrap/>
            <w:vAlign w:val="center"/>
          </w:tcPr>
          <w:p w14:paraId="3052E31B"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生化：实验室生化指标检测中常见干扰机理及预防性研究</w:t>
            </w:r>
          </w:p>
        </w:tc>
        <w:tc>
          <w:tcPr>
            <w:tcW w:w="5846" w:type="dxa"/>
            <w:tcBorders>
              <w:top w:val="single" w:sz="4" w:space="0" w:color="auto"/>
              <w:left w:val="single" w:sz="4" w:space="0" w:color="auto"/>
              <w:bottom w:val="single" w:sz="4" w:space="0" w:color="auto"/>
              <w:right w:val="single" w:sz="4" w:space="0" w:color="auto"/>
            </w:tcBorders>
            <w:noWrap/>
            <w:vAlign w:val="center"/>
          </w:tcPr>
          <w:p w14:paraId="76DF6064"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本研究通过探讨实验室生化指标检测中常见的干扰物干扰的机理，并研究抗干扰新技术在临床实验室生化指标检测中准确性优化，最终确认抗干扰新技术在心血管、肝病、肾病等临床疾病精准检测、疗效评估中的应用价值。</w:t>
            </w:r>
          </w:p>
        </w:tc>
      </w:tr>
      <w:tr w:rsidR="00502A51" w:rsidRPr="00F32887" w14:paraId="2344FDD8" w14:textId="77777777" w:rsidTr="0090575B">
        <w:trPr>
          <w:trHeight w:val="1030"/>
          <w:jc w:val="center"/>
        </w:trPr>
        <w:tc>
          <w:tcPr>
            <w:tcW w:w="1149" w:type="dxa"/>
            <w:tcBorders>
              <w:top w:val="single" w:sz="4" w:space="0" w:color="auto"/>
              <w:left w:val="single" w:sz="4" w:space="0" w:color="auto"/>
              <w:bottom w:val="single" w:sz="4" w:space="0" w:color="auto"/>
              <w:right w:val="single" w:sz="4" w:space="0" w:color="auto"/>
            </w:tcBorders>
            <w:vAlign w:val="center"/>
          </w:tcPr>
          <w:p w14:paraId="7A3587BD"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t>A11</w:t>
            </w:r>
          </w:p>
        </w:tc>
        <w:tc>
          <w:tcPr>
            <w:tcW w:w="2390" w:type="dxa"/>
            <w:tcBorders>
              <w:top w:val="single" w:sz="4" w:space="0" w:color="auto"/>
              <w:left w:val="single" w:sz="4" w:space="0" w:color="auto"/>
              <w:bottom w:val="single" w:sz="4" w:space="0" w:color="auto"/>
              <w:right w:val="single" w:sz="4" w:space="0" w:color="auto"/>
            </w:tcBorders>
            <w:noWrap/>
            <w:vAlign w:val="center"/>
          </w:tcPr>
          <w:p w14:paraId="72A5650E"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生化：动脉粥样硬化实验诊断、防控体系建立及应用研究</w:t>
            </w:r>
          </w:p>
        </w:tc>
        <w:tc>
          <w:tcPr>
            <w:tcW w:w="5846" w:type="dxa"/>
            <w:tcBorders>
              <w:top w:val="single" w:sz="4" w:space="0" w:color="auto"/>
              <w:left w:val="single" w:sz="4" w:space="0" w:color="auto"/>
              <w:bottom w:val="single" w:sz="4" w:space="0" w:color="auto"/>
              <w:right w:val="single" w:sz="4" w:space="0" w:color="auto"/>
            </w:tcBorders>
            <w:noWrap/>
            <w:vAlign w:val="center"/>
          </w:tcPr>
          <w:p w14:paraId="4E22AC9E"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本研究围绕动脉粥样硬化性心血管疾病的实验诊断、防控体系开展，可针对不同的人群（青少年、老人、妊娠期患者等），研究实验室血脂相关指标在该疾病的预防、</w:t>
            </w:r>
            <w:proofErr w:type="gramStart"/>
            <w:r w:rsidRPr="00F32887">
              <w:rPr>
                <w:rFonts w:eastAsiaTheme="minorEastAsia" w:cstheme="minorEastAsia" w:hint="eastAsia"/>
                <w:sz w:val="24"/>
                <w:szCs w:val="24"/>
              </w:rPr>
              <w:t>早筛早诊</w:t>
            </w:r>
            <w:proofErr w:type="gramEnd"/>
            <w:r w:rsidRPr="00F32887">
              <w:rPr>
                <w:rFonts w:eastAsiaTheme="minorEastAsia" w:cstheme="minorEastAsia" w:hint="eastAsia"/>
                <w:sz w:val="24"/>
                <w:szCs w:val="24"/>
              </w:rPr>
              <w:t>、风险评估、严重度分层、疗效监测或预后判断中的价值，构建动脉粥样硬化性疾病的安全有效的诊疗模型，为临床提供更加具有指导价值的辅助诊断工具。</w:t>
            </w:r>
          </w:p>
        </w:tc>
      </w:tr>
      <w:tr w:rsidR="00502A51" w:rsidRPr="00F32887" w14:paraId="10DCEBEF" w14:textId="77777777" w:rsidTr="0090575B">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28CB1625"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t>A12</w:t>
            </w:r>
          </w:p>
        </w:tc>
        <w:tc>
          <w:tcPr>
            <w:tcW w:w="2390" w:type="dxa"/>
            <w:tcBorders>
              <w:top w:val="single" w:sz="4" w:space="0" w:color="auto"/>
              <w:left w:val="single" w:sz="4" w:space="0" w:color="auto"/>
              <w:bottom w:val="single" w:sz="4" w:space="0" w:color="auto"/>
              <w:right w:val="single" w:sz="4" w:space="0" w:color="auto"/>
            </w:tcBorders>
            <w:noWrap/>
            <w:vAlign w:val="center"/>
          </w:tcPr>
          <w:p w14:paraId="121D58A5"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生化：肾病新型</w:t>
            </w:r>
            <w:r w:rsidRPr="00F32887">
              <w:rPr>
                <w:rFonts w:eastAsiaTheme="minorEastAsia" w:cstheme="minorEastAsia" w:hint="eastAsia"/>
                <w:sz w:val="24"/>
                <w:szCs w:val="24"/>
              </w:rPr>
              <w:t>/</w:t>
            </w:r>
            <w:r w:rsidRPr="00F32887">
              <w:rPr>
                <w:rFonts w:eastAsiaTheme="minorEastAsia" w:cstheme="minorEastAsia" w:hint="eastAsia"/>
                <w:sz w:val="24"/>
                <w:szCs w:val="24"/>
              </w:rPr>
              <w:t>常规实验室标志物诊疗模型的临床应用研究</w:t>
            </w:r>
          </w:p>
        </w:tc>
        <w:tc>
          <w:tcPr>
            <w:tcW w:w="5846" w:type="dxa"/>
            <w:tcBorders>
              <w:top w:val="single" w:sz="4" w:space="0" w:color="auto"/>
              <w:left w:val="single" w:sz="4" w:space="0" w:color="auto"/>
              <w:bottom w:val="single" w:sz="4" w:space="0" w:color="auto"/>
              <w:right w:val="single" w:sz="4" w:space="0" w:color="auto"/>
            </w:tcBorders>
            <w:noWrap/>
            <w:vAlign w:val="center"/>
          </w:tcPr>
          <w:p w14:paraId="0ADE6532"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本研究围绕不同人群（儿童、成人、老年人、妊娠期妇女等）肾脏疾病患者的全病程管理，基于无创的血、尿生化检验指标构建肾脏疾病的早期筛查、早期诊断、鉴别诊断、治疗方案选择、疗效判断及患者预后评估等方面的诊疗模型。</w:t>
            </w:r>
          </w:p>
        </w:tc>
      </w:tr>
      <w:tr w:rsidR="00502A51" w:rsidRPr="00F32887" w14:paraId="0041A459" w14:textId="77777777" w:rsidTr="0090575B">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0653EF38"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lastRenderedPageBreak/>
              <w:t>A13</w:t>
            </w:r>
          </w:p>
        </w:tc>
        <w:tc>
          <w:tcPr>
            <w:tcW w:w="2390" w:type="dxa"/>
            <w:tcBorders>
              <w:top w:val="single" w:sz="4" w:space="0" w:color="auto"/>
              <w:left w:val="single" w:sz="4" w:space="0" w:color="auto"/>
              <w:bottom w:val="single" w:sz="4" w:space="0" w:color="auto"/>
              <w:right w:val="single" w:sz="4" w:space="0" w:color="auto"/>
            </w:tcBorders>
            <w:noWrap/>
            <w:vAlign w:val="center"/>
          </w:tcPr>
          <w:p w14:paraId="5D0CDE15"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临检：基于临床基础检验新技术、新参数对血液疾病、感染性疾病或肾脏疾病的辅助诊断及临床应用研究</w:t>
            </w:r>
          </w:p>
        </w:tc>
        <w:tc>
          <w:tcPr>
            <w:tcW w:w="5846" w:type="dxa"/>
            <w:tcBorders>
              <w:top w:val="single" w:sz="4" w:space="0" w:color="auto"/>
              <w:left w:val="single" w:sz="4" w:space="0" w:color="auto"/>
              <w:bottom w:val="single" w:sz="4" w:space="0" w:color="auto"/>
              <w:right w:val="single" w:sz="4" w:space="0" w:color="auto"/>
            </w:tcBorders>
            <w:noWrap/>
            <w:vAlign w:val="center"/>
          </w:tcPr>
          <w:p w14:paraId="51B0A1F2"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通过研究临床基础检验中血液及尿液新技术、新参数的临床诊疗价值，为血液疾病、感染性疾病或肾脏疾病早期筛查、辅助诊断、治疗监测或预后判断提供依据。</w:t>
            </w:r>
          </w:p>
        </w:tc>
      </w:tr>
      <w:tr w:rsidR="00502A51" w:rsidRPr="00F32887" w14:paraId="5E5DC389" w14:textId="77777777" w:rsidTr="0090575B">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714A9F3B"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t>A14</w:t>
            </w:r>
          </w:p>
        </w:tc>
        <w:tc>
          <w:tcPr>
            <w:tcW w:w="2390" w:type="dxa"/>
            <w:tcBorders>
              <w:top w:val="single" w:sz="4" w:space="0" w:color="auto"/>
              <w:left w:val="single" w:sz="4" w:space="0" w:color="auto"/>
              <w:bottom w:val="single" w:sz="4" w:space="0" w:color="auto"/>
              <w:right w:val="single" w:sz="4" w:space="0" w:color="auto"/>
            </w:tcBorders>
            <w:noWrap/>
            <w:vAlign w:val="center"/>
          </w:tcPr>
          <w:p w14:paraId="56CB7D6A"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临检：血液分析及尿液分析的自动审核、复检规则的临床应用研究</w:t>
            </w:r>
          </w:p>
        </w:tc>
        <w:tc>
          <w:tcPr>
            <w:tcW w:w="5846" w:type="dxa"/>
            <w:tcBorders>
              <w:top w:val="single" w:sz="4" w:space="0" w:color="auto"/>
              <w:left w:val="single" w:sz="4" w:space="0" w:color="auto"/>
              <w:bottom w:val="single" w:sz="4" w:space="0" w:color="auto"/>
              <w:right w:val="single" w:sz="4" w:space="0" w:color="auto"/>
            </w:tcBorders>
            <w:noWrap/>
            <w:vAlign w:val="center"/>
          </w:tcPr>
          <w:p w14:paraId="579731C9"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通过研究临床基础检验中血液、尿液分析的自动审核、复检规则建立的标准，采用人工智能等技术，实现血液分析、尿液分析对异常样本精准检出及精准复检。</w:t>
            </w:r>
          </w:p>
        </w:tc>
      </w:tr>
      <w:tr w:rsidR="00502A51" w:rsidRPr="00F32887" w14:paraId="618446DE" w14:textId="77777777" w:rsidTr="0090575B">
        <w:trPr>
          <w:trHeight w:val="1916"/>
          <w:jc w:val="center"/>
        </w:trPr>
        <w:tc>
          <w:tcPr>
            <w:tcW w:w="1149" w:type="dxa"/>
            <w:tcBorders>
              <w:top w:val="single" w:sz="4" w:space="0" w:color="auto"/>
              <w:left w:val="single" w:sz="4" w:space="0" w:color="auto"/>
              <w:bottom w:val="single" w:sz="4" w:space="0" w:color="auto"/>
              <w:right w:val="single" w:sz="4" w:space="0" w:color="auto"/>
            </w:tcBorders>
            <w:vAlign w:val="center"/>
          </w:tcPr>
          <w:p w14:paraId="4E233E9A" w14:textId="77777777" w:rsidR="00502A51" w:rsidRPr="00F32887" w:rsidRDefault="00502A51" w:rsidP="0090575B">
            <w:pPr>
              <w:spacing w:beforeLines="50" w:before="156" w:afterLines="50" w:after="156" w:line="360" w:lineRule="auto"/>
              <w:ind w:firstLineChars="9" w:firstLine="22"/>
              <w:jc w:val="center"/>
              <w:rPr>
                <w:rFonts w:eastAsiaTheme="minorEastAsia" w:cstheme="minorEastAsia"/>
                <w:sz w:val="24"/>
                <w:szCs w:val="24"/>
              </w:rPr>
            </w:pPr>
            <w:r w:rsidRPr="00F32887">
              <w:rPr>
                <w:rFonts w:eastAsiaTheme="minorEastAsia" w:cstheme="minorEastAsia" w:hint="eastAsia"/>
                <w:sz w:val="24"/>
                <w:szCs w:val="24"/>
              </w:rPr>
              <w:t>A1</w:t>
            </w:r>
            <w:r w:rsidRPr="00F32887">
              <w:rPr>
                <w:rFonts w:eastAsiaTheme="minorEastAsia" w:cstheme="minorEastAsia"/>
                <w:sz w:val="24"/>
                <w:szCs w:val="24"/>
              </w:rPr>
              <w:t>5</w:t>
            </w:r>
          </w:p>
        </w:tc>
        <w:tc>
          <w:tcPr>
            <w:tcW w:w="2390" w:type="dxa"/>
            <w:tcBorders>
              <w:top w:val="single" w:sz="4" w:space="0" w:color="auto"/>
              <w:left w:val="single" w:sz="4" w:space="0" w:color="auto"/>
              <w:bottom w:val="single" w:sz="4" w:space="0" w:color="auto"/>
              <w:right w:val="single" w:sz="4" w:space="0" w:color="auto"/>
            </w:tcBorders>
            <w:noWrap/>
            <w:vAlign w:val="center"/>
          </w:tcPr>
          <w:p w14:paraId="39258000"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微生物：药敏检测指导临床酵母样真菌感染合理使用抗菌药物的临床价值研究</w:t>
            </w:r>
          </w:p>
        </w:tc>
        <w:tc>
          <w:tcPr>
            <w:tcW w:w="5846" w:type="dxa"/>
            <w:tcBorders>
              <w:top w:val="single" w:sz="4" w:space="0" w:color="auto"/>
              <w:left w:val="single" w:sz="4" w:space="0" w:color="auto"/>
              <w:bottom w:val="single" w:sz="4" w:space="0" w:color="auto"/>
              <w:right w:val="single" w:sz="4" w:space="0" w:color="auto"/>
            </w:tcBorders>
            <w:noWrap/>
            <w:vAlign w:val="center"/>
          </w:tcPr>
          <w:p w14:paraId="6EAC429C" w14:textId="77777777" w:rsidR="00502A51" w:rsidRPr="00F32887" w:rsidRDefault="00502A51" w:rsidP="0090575B">
            <w:pPr>
              <w:spacing w:beforeLines="50" w:before="156" w:afterLines="50" w:after="156" w:line="360" w:lineRule="auto"/>
              <w:ind w:firstLineChars="18" w:firstLine="43"/>
              <w:rPr>
                <w:rFonts w:eastAsiaTheme="minorEastAsia" w:cstheme="minorEastAsia"/>
                <w:sz w:val="24"/>
                <w:szCs w:val="24"/>
              </w:rPr>
            </w:pPr>
            <w:r w:rsidRPr="00F32887">
              <w:rPr>
                <w:rFonts w:eastAsiaTheme="minorEastAsia" w:cstheme="minorEastAsia" w:hint="eastAsia"/>
                <w:sz w:val="24"/>
                <w:szCs w:val="24"/>
              </w:rPr>
              <w:t>本研究探讨真菌药敏</w:t>
            </w:r>
            <w:r w:rsidRPr="00F32887">
              <w:rPr>
                <w:rFonts w:eastAsiaTheme="minorEastAsia" w:cstheme="minorEastAsia" w:hint="eastAsia"/>
                <w:sz w:val="24"/>
                <w:szCs w:val="24"/>
              </w:rPr>
              <w:t>MIC</w:t>
            </w:r>
            <w:r w:rsidRPr="00F32887">
              <w:rPr>
                <w:rFonts w:eastAsiaTheme="minorEastAsia" w:cstheme="minorEastAsia" w:hint="eastAsia"/>
                <w:sz w:val="24"/>
                <w:szCs w:val="24"/>
              </w:rPr>
              <w:t>折点和</w:t>
            </w:r>
            <w:r w:rsidRPr="00F32887">
              <w:rPr>
                <w:rFonts w:eastAsiaTheme="minorEastAsia" w:cstheme="minorEastAsia" w:hint="eastAsia"/>
                <w:sz w:val="24"/>
                <w:szCs w:val="24"/>
              </w:rPr>
              <w:t>ECV</w:t>
            </w:r>
            <w:r w:rsidRPr="00F32887">
              <w:rPr>
                <w:rFonts w:eastAsiaTheme="minorEastAsia" w:cstheme="minorEastAsia" w:hint="eastAsia"/>
                <w:sz w:val="24"/>
                <w:szCs w:val="24"/>
              </w:rPr>
              <w:t>折点对临床酵母样真菌感染性疾病的临床用药指导价值，并探讨如何减少真菌药敏检测普遍存在的拖尾现象，更加快速准确地提供药敏结果；综合评估比浊法、比色法，分析进口产品、国产产品在酵母样真菌药敏检测的优缺点及进口产品的可替代性。</w:t>
            </w:r>
          </w:p>
        </w:tc>
      </w:tr>
    </w:tbl>
    <w:p w14:paraId="308D3E7C" w14:textId="3739FC7A" w:rsidR="00DC747F" w:rsidRDefault="00DC747F">
      <w:pPr>
        <w:spacing w:beforeLines="50" w:before="156" w:afterLines="50" w:after="156" w:line="440" w:lineRule="exact"/>
        <w:ind w:firstLineChars="0" w:firstLine="0"/>
        <w:jc w:val="center"/>
        <w:rPr>
          <w:rFonts w:ascii="宋体" w:hAnsi="宋体"/>
          <w:b/>
          <w:color w:val="auto"/>
          <w:sz w:val="24"/>
          <w:szCs w:val="24"/>
        </w:rPr>
      </w:pPr>
    </w:p>
    <w:p w14:paraId="17F1C11B" w14:textId="77777777" w:rsidR="00502A51" w:rsidRPr="00EF20D9" w:rsidRDefault="00502A51" w:rsidP="00502A51">
      <w:pPr>
        <w:spacing w:before="0" w:after="0" w:line="360" w:lineRule="auto"/>
        <w:ind w:firstLineChars="0" w:firstLine="0"/>
        <w:rPr>
          <w:sz w:val="24"/>
          <w:szCs w:val="24"/>
        </w:rPr>
      </w:pPr>
      <w:r w:rsidRPr="00EF20D9">
        <w:rPr>
          <w:rFonts w:hint="eastAsia"/>
          <w:sz w:val="24"/>
          <w:szCs w:val="24"/>
        </w:rPr>
        <w:t>⑵</w:t>
      </w:r>
      <w:r w:rsidRPr="00EF20D9">
        <w:rPr>
          <w:rFonts w:hint="eastAsia"/>
          <w:sz w:val="24"/>
          <w:szCs w:val="24"/>
        </w:rPr>
        <w:t xml:space="preserve"> </w:t>
      </w:r>
      <w:r w:rsidRPr="00EF20D9">
        <w:rPr>
          <w:rFonts w:hint="eastAsia"/>
          <w:sz w:val="24"/>
          <w:szCs w:val="24"/>
        </w:rPr>
        <w:t>自主课题：根据自身的条件和区域的特点，要求基于相关产品围绕</w:t>
      </w:r>
      <w:r w:rsidRPr="00EF20D9">
        <w:rPr>
          <w:sz w:val="24"/>
          <w:szCs w:val="24"/>
        </w:rPr>
        <w:t>慢病</w:t>
      </w:r>
      <w:r w:rsidRPr="00EF20D9">
        <w:rPr>
          <w:rFonts w:hint="eastAsia"/>
          <w:sz w:val="24"/>
          <w:szCs w:val="24"/>
        </w:rPr>
        <w:t>及传染病</w:t>
      </w:r>
      <w:r w:rsidRPr="00EF20D9">
        <w:rPr>
          <w:sz w:val="24"/>
          <w:szCs w:val="24"/>
        </w:rPr>
        <w:t>管理领域</w:t>
      </w:r>
      <w:r w:rsidRPr="00EF20D9">
        <w:rPr>
          <w:rFonts w:hint="eastAsia"/>
          <w:sz w:val="24"/>
          <w:szCs w:val="24"/>
        </w:rPr>
        <w:t>进行研究（项目提供</w:t>
      </w:r>
      <w:r w:rsidRPr="00EF20D9">
        <w:rPr>
          <w:sz w:val="24"/>
          <w:szCs w:val="24"/>
        </w:rPr>
        <w:t>产品</w:t>
      </w:r>
      <w:r w:rsidRPr="00EF20D9">
        <w:rPr>
          <w:rFonts w:hint="eastAsia"/>
          <w:sz w:val="24"/>
          <w:szCs w:val="24"/>
        </w:rPr>
        <w:t>见附件），</w:t>
      </w:r>
      <w:r w:rsidRPr="00EF20D9">
        <w:rPr>
          <w:sz w:val="24"/>
          <w:szCs w:val="24"/>
        </w:rPr>
        <w:t>鼓励提出原创性新课题申请，鼓励学科</w:t>
      </w:r>
      <w:r w:rsidRPr="00EF20D9">
        <w:rPr>
          <w:rFonts w:hint="eastAsia"/>
          <w:sz w:val="24"/>
          <w:szCs w:val="24"/>
        </w:rPr>
        <w:t>交</w:t>
      </w:r>
      <w:r w:rsidRPr="00EF20D9">
        <w:rPr>
          <w:sz w:val="24"/>
          <w:szCs w:val="24"/>
        </w:rPr>
        <w:t>叉</w:t>
      </w:r>
      <w:r w:rsidRPr="00EF20D9">
        <w:rPr>
          <w:rFonts w:hint="eastAsia"/>
          <w:sz w:val="24"/>
          <w:szCs w:val="24"/>
        </w:rPr>
        <w:t>，申请院校可从表二中选择课题领域进行申报。</w:t>
      </w:r>
    </w:p>
    <w:p w14:paraId="3089E5BA" w14:textId="77777777" w:rsidR="00502A51" w:rsidRPr="00EF20D9" w:rsidRDefault="00502A51" w:rsidP="00502A51">
      <w:pPr>
        <w:spacing w:before="0" w:after="0" w:line="360" w:lineRule="auto"/>
        <w:ind w:firstLine="482"/>
        <w:jc w:val="center"/>
        <w:rPr>
          <w:b/>
          <w:sz w:val="24"/>
          <w:szCs w:val="24"/>
        </w:rPr>
      </w:pPr>
      <w:r w:rsidRPr="00EF20D9">
        <w:rPr>
          <w:rFonts w:hint="eastAsia"/>
          <w:b/>
          <w:sz w:val="24"/>
          <w:szCs w:val="24"/>
        </w:rPr>
        <w:t>表二</w:t>
      </w:r>
      <w:r w:rsidRPr="00EF20D9">
        <w:rPr>
          <w:rFonts w:hint="eastAsia"/>
          <w:b/>
          <w:sz w:val="24"/>
          <w:szCs w:val="24"/>
        </w:rPr>
        <w:t xml:space="preserve"> </w:t>
      </w:r>
      <w:r w:rsidRPr="00EF20D9">
        <w:rPr>
          <w:rFonts w:hint="eastAsia"/>
          <w:b/>
          <w:sz w:val="24"/>
          <w:szCs w:val="24"/>
        </w:rPr>
        <w:t>自主课题选题列表</w:t>
      </w:r>
    </w:p>
    <w:tbl>
      <w:tblPr>
        <w:tblW w:w="8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6"/>
        <w:gridCol w:w="5130"/>
      </w:tblGrid>
      <w:tr w:rsidR="00502A51" w:rsidRPr="00EF20D9" w14:paraId="18B20A94" w14:textId="77777777" w:rsidTr="0090575B">
        <w:trPr>
          <w:trHeight w:val="437"/>
          <w:jc w:val="center"/>
        </w:trPr>
        <w:tc>
          <w:tcPr>
            <w:tcW w:w="2886" w:type="dxa"/>
            <w:tcBorders>
              <w:top w:val="single" w:sz="4" w:space="0" w:color="auto"/>
              <w:left w:val="single" w:sz="4" w:space="0" w:color="auto"/>
              <w:bottom w:val="single" w:sz="4" w:space="0" w:color="auto"/>
              <w:right w:val="single" w:sz="4" w:space="0" w:color="auto"/>
            </w:tcBorders>
            <w:shd w:val="clear" w:color="auto" w:fill="BFBFBF"/>
            <w:vAlign w:val="center"/>
          </w:tcPr>
          <w:p w14:paraId="353EDDE6" w14:textId="77777777" w:rsidR="00502A51" w:rsidRPr="00EF20D9" w:rsidRDefault="00502A51" w:rsidP="0090575B">
            <w:pPr>
              <w:spacing w:line="360" w:lineRule="auto"/>
              <w:ind w:firstLineChars="9" w:firstLine="22"/>
              <w:jc w:val="center"/>
              <w:rPr>
                <w:rFonts w:cs="宋体"/>
                <w:b/>
                <w:sz w:val="24"/>
                <w:szCs w:val="24"/>
              </w:rPr>
            </w:pPr>
            <w:r w:rsidRPr="00EF20D9">
              <w:rPr>
                <w:rFonts w:cs="宋体" w:hint="eastAsia"/>
                <w:b/>
                <w:sz w:val="24"/>
                <w:szCs w:val="24"/>
              </w:rPr>
              <w:t>方向编号</w:t>
            </w:r>
          </w:p>
        </w:tc>
        <w:tc>
          <w:tcPr>
            <w:tcW w:w="5130" w:type="dxa"/>
            <w:tcBorders>
              <w:top w:val="single" w:sz="4" w:space="0" w:color="auto"/>
              <w:left w:val="single" w:sz="4" w:space="0" w:color="auto"/>
              <w:bottom w:val="single" w:sz="4" w:space="0" w:color="auto"/>
              <w:right w:val="single" w:sz="4" w:space="0" w:color="auto"/>
            </w:tcBorders>
            <w:shd w:val="clear" w:color="auto" w:fill="BFBFBF"/>
            <w:noWrap/>
            <w:vAlign w:val="center"/>
          </w:tcPr>
          <w:p w14:paraId="47D3856A" w14:textId="77777777" w:rsidR="00502A51" w:rsidRPr="00EF20D9" w:rsidRDefault="00502A51" w:rsidP="0090575B">
            <w:pPr>
              <w:spacing w:line="360" w:lineRule="auto"/>
              <w:ind w:firstLineChars="18" w:firstLine="43"/>
              <w:jc w:val="center"/>
              <w:rPr>
                <w:rFonts w:cs="宋体"/>
                <w:b/>
                <w:sz w:val="24"/>
                <w:szCs w:val="24"/>
              </w:rPr>
            </w:pPr>
            <w:r w:rsidRPr="00EF20D9">
              <w:rPr>
                <w:rFonts w:cs="宋体" w:hint="eastAsia"/>
                <w:b/>
                <w:sz w:val="24"/>
                <w:szCs w:val="24"/>
              </w:rPr>
              <w:t>课题方向</w:t>
            </w:r>
          </w:p>
        </w:tc>
      </w:tr>
      <w:tr w:rsidR="00502A51" w:rsidRPr="00EF20D9" w14:paraId="1E686ED7" w14:textId="77777777" w:rsidTr="0090575B">
        <w:trPr>
          <w:trHeight w:val="270"/>
          <w:jc w:val="center"/>
        </w:trPr>
        <w:tc>
          <w:tcPr>
            <w:tcW w:w="2886" w:type="dxa"/>
            <w:tcBorders>
              <w:top w:val="single" w:sz="4" w:space="0" w:color="auto"/>
              <w:left w:val="single" w:sz="4" w:space="0" w:color="auto"/>
              <w:bottom w:val="single" w:sz="4" w:space="0" w:color="auto"/>
              <w:right w:val="single" w:sz="4" w:space="0" w:color="auto"/>
            </w:tcBorders>
            <w:vAlign w:val="center"/>
          </w:tcPr>
          <w:p w14:paraId="014C85CB" w14:textId="77777777" w:rsidR="00502A51" w:rsidRPr="00EF20D9" w:rsidRDefault="00502A51" w:rsidP="0090575B">
            <w:pPr>
              <w:spacing w:before="0" w:after="0" w:line="360" w:lineRule="auto"/>
              <w:ind w:firstLine="480"/>
              <w:rPr>
                <w:sz w:val="24"/>
                <w:szCs w:val="24"/>
              </w:rPr>
            </w:pPr>
            <w:r w:rsidRPr="00EF20D9">
              <w:rPr>
                <w:rFonts w:hint="eastAsia"/>
                <w:sz w:val="24"/>
                <w:szCs w:val="24"/>
              </w:rPr>
              <w:t>B01</w:t>
            </w:r>
          </w:p>
        </w:tc>
        <w:tc>
          <w:tcPr>
            <w:tcW w:w="5130" w:type="dxa"/>
            <w:tcBorders>
              <w:top w:val="single" w:sz="4" w:space="0" w:color="auto"/>
              <w:left w:val="single" w:sz="4" w:space="0" w:color="auto"/>
              <w:bottom w:val="single" w:sz="4" w:space="0" w:color="auto"/>
              <w:right w:val="single" w:sz="4" w:space="0" w:color="auto"/>
            </w:tcBorders>
            <w:noWrap/>
            <w:vAlign w:val="center"/>
          </w:tcPr>
          <w:p w14:paraId="6FB56ECC" w14:textId="766E5120" w:rsidR="00502A51" w:rsidRPr="00EF20D9" w:rsidRDefault="007D7EE8" w:rsidP="0090575B">
            <w:pPr>
              <w:spacing w:before="0" w:after="0" w:line="360" w:lineRule="auto"/>
              <w:ind w:firstLineChars="0" w:firstLine="0"/>
              <w:jc w:val="left"/>
              <w:rPr>
                <w:sz w:val="24"/>
                <w:szCs w:val="24"/>
              </w:rPr>
            </w:pPr>
            <w:r>
              <w:rPr>
                <w:rFonts w:hint="eastAsia"/>
                <w:sz w:val="24"/>
                <w:szCs w:val="24"/>
              </w:rPr>
              <w:t>肾脏疾病早期多指标联合筛查模型构建及临床应用评价</w:t>
            </w:r>
          </w:p>
        </w:tc>
      </w:tr>
      <w:tr w:rsidR="00502A51" w:rsidRPr="00EF20D9" w14:paraId="15EDFD47" w14:textId="77777777" w:rsidTr="0090575B">
        <w:trPr>
          <w:trHeight w:val="270"/>
          <w:jc w:val="center"/>
        </w:trPr>
        <w:tc>
          <w:tcPr>
            <w:tcW w:w="2886" w:type="dxa"/>
            <w:tcBorders>
              <w:top w:val="single" w:sz="4" w:space="0" w:color="auto"/>
              <w:left w:val="single" w:sz="4" w:space="0" w:color="auto"/>
              <w:bottom w:val="single" w:sz="4" w:space="0" w:color="auto"/>
              <w:right w:val="single" w:sz="4" w:space="0" w:color="auto"/>
            </w:tcBorders>
            <w:vAlign w:val="center"/>
          </w:tcPr>
          <w:p w14:paraId="2770EE52" w14:textId="77777777" w:rsidR="00502A51" w:rsidRPr="00EF20D9" w:rsidRDefault="00502A51" w:rsidP="0090575B">
            <w:pPr>
              <w:spacing w:before="0" w:after="0" w:line="360" w:lineRule="auto"/>
              <w:ind w:firstLine="480"/>
              <w:rPr>
                <w:sz w:val="24"/>
                <w:szCs w:val="24"/>
              </w:rPr>
            </w:pPr>
            <w:r w:rsidRPr="00EF20D9">
              <w:rPr>
                <w:rFonts w:hint="eastAsia"/>
                <w:sz w:val="24"/>
                <w:szCs w:val="24"/>
              </w:rPr>
              <w:t>B</w:t>
            </w:r>
            <w:r w:rsidRPr="00EF20D9">
              <w:rPr>
                <w:sz w:val="24"/>
                <w:szCs w:val="24"/>
              </w:rPr>
              <w:t>02</w:t>
            </w:r>
          </w:p>
        </w:tc>
        <w:tc>
          <w:tcPr>
            <w:tcW w:w="5130" w:type="dxa"/>
            <w:tcBorders>
              <w:top w:val="single" w:sz="4" w:space="0" w:color="auto"/>
              <w:left w:val="single" w:sz="4" w:space="0" w:color="auto"/>
              <w:bottom w:val="single" w:sz="4" w:space="0" w:color="auto"/>
              <w:right w:val="single" w:sz="4" w:space="0" w:color="auto"/>
            </w:tcBorders>
            <w:noWrap/>
            <w:vAlign w:val="center"/>
          </w:tcPr>
          <w:p w14:paraId="32738CD1" w14:textId="4809A6F7" w:rsidR="00502A51" w:rsidRPr="00EF20D9" w:rsidRDefault="007D7EE8" w:rsidP="0090575B">
            <w:pPr>
              <w:spacing w:before="0" w:after="0" w:line="360" w:lineRule="auto"/>
              <w:ind w:firstLineChars="0" w:firstLine="0"/>
              <w:jc w:val="left"/>
              <w:rPr>
                <w:sz w:val="24"/>
                <w:szCs w:val="24"/>
              </w:rPr>
            </w:pPr>
            <w:r>
              <w:rPr>
                <w:rFonts w:hint="eastAsia"/>
                <w:sz w:val="24"/>
                <w:szCs w:val="24"/>
              </w:rPr>
              <w:t>感染性疾病生物标志物全自动分析的可用性评价体系研究及建立</w:t>
            </w:r>
          </w:p>
        </w:tc>
      </w:tr>
    </w:tbl>
    <w:p w14:paraId="4697B4C1" w14:textId="77777777" w:rsidR="00502A51" w:rsidRPr="00502A51" w:rsidRDefault="00502A51">
      <w:pPr>
        <w:spacing w:beforeLines="50" w:before="156" w:afterLines="50" w:after="156" w:line="440" w:lineRule="exact"/>
        <w:ind w:firstLineChars="0" w:firstLine="0"/>
        <w:jc w:val="center"/>
        <w:rPr>
          <w:rFonts w:ascii="宋体" w:hAnsi="宋体"/>
          <w:b/>
          <w:color w:val="auto"/>
          <w:sz w:val="24"/>
          <w:szCs w:val="24"/>
        </w:rPr>
      </w:pPr>
    </w:p>
    <w:p w14:paraId="3B969CC3" w14:textId="77777777" w:rsidR="00EE355C" w:rsidRPr="00C779F4" w:rsidRDefault="00B8686C">
      <w:pPr>
        <w:pStyle w:val="2"/>
        <w:numPr>
          <w:ilvl w:val="0"/>
          <w:numId w:val="0"/>
        </w:numPr>
        <w:spacing w:beforeLines="100" w:before="312" w:line="500" w:lineRule="exact"/>
        <w:ind w:firstLineChars="200" w:firstLine="560"/>
      </w:pPr>
      <w:r w:rsidRPr="00C779F4">
        <w:rPr>
          <w:rFonts w:hint="eastAsia"/>
        </w:rPr>
        <w:t>二、申报条件和要求</w:t>
      </w:r>
    </w:p>
    <w:p w14:paraId="1C08ADF9" w14:textId="2FE2C354"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1. 申请人具有较强科研能力，能够独立开展研究和组织开展研究，对所申报课题已具有一定的研究基础，能够承担实质性研究工作；团队成员在选定的研究课题方向有较好的技术储备，包括与申报课题研究内容相关的研究成果、教材、论文、专利、获奖等。</w:t>
      </w:r>
    </w:p>
    <w:p w14:paraId="1406E7BA" w14:textId="77777777"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2. 团队组成合理，分工明确，数量不少于3人。其中，硕士（含）以上研究生可以作为团队成员，但是不得多于教师的数量。课题组成员须征得本人同意并签字确认，否则视为违规申报。</w:t>
      </w:r>
    </w:p>
    <w:p w14:paraId="67F47BDF" w14:textId="77777777"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3. 优先支持已经设立相关前沿专业/学科，或已经成立相关研究中心的院校。</w:t>
      </w:r>
    </w:p>
    <w:p w14:paraId="294107C9" w14:textId="0B679786"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4. 优先支持选题方向符合表</w:t>
      </w:r>
      <w:proofErr w:type="gramStart"/>
      <w:r w:rsidRPr="00C779F4">
        <w:rPr>
          <w:rFonts w:ascii="宋体" w:hAnsi="宋体" w:hint="eastAsia"/>
          <w:sz w:val="24"/>
          <w:szCs w:val="24"/>
        </w:rPr>
        <w:t>一</w:t>
      </w:r>
      <w:proofErr w:type="gramEnd"/>
      <w:r w:rsidRPr="00C779F4">
        <w:rPr>
          <w:rFonts w:ascii="宋体" w:hAnsi="宋体" w:hint="eastAsia"/>
          <w:sz w:val="24"/>
          <w:szCs w:val="24"/>
        </w:rPr>
        <w:t>要求的课题，课题中使用的软硬件</w:t>
      </w:r>
      <w:r w:rsidRPr="00C779F4">
        <w:rPr>
          <w:rFonts w:ascii="宋体" w:hAnsi="宋体"/>
          <w:sz w:val="24"/>
          <w:szCs w:val="24"/>
        </w:rPr>
        <w:t>平台</w:t>
      </w:r>
      <w:r w:rsidRPr="00C779F4">
        <w:rPr>
          <w:rFonts w:ascii="宋体" w:hAnsi="宋体" w:hint="eastAsia"/>
          <w:color w:val="auto"/>
          <w:sz w:val="24"/>
          <w:szCs w:val="24"/>
        </w:rPr>
        <w:t>介绍见表三。</w:t>
      </w:r>
    </w:p>
    <w:p w14:paraId="662785B1" w14:textId="497E4A0F"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5. 优先支持研究内容有创造性、前瞻性和实用性，有商业化前景的课题。</w:t>
      </w:r>
    </w:p>
    <w:p w14:paraId="1540C2D4" w14:textId="4A8E2945"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6.</w:t>
      </w:r>
      <w:r w:rsidRPr="00C779F4">
        <w:rPr>
          <w:rFonts w:ascii="宋体" w:hAnsi="宋体"/>
          <w:sz w:val="24"/>
          <w:szCs w:val="24"/>
        </w:rPr>
        <w:t xml:space="preserve"> </w:t>
      </w:r>
      <w:r w:rsidRPr="00C779F4">
        <w:rPr>
          <w:rFonts w:ascii="宋体" w:hAnsi="宋体" w:hint="eastAsia"/>
          <w:sz w:val="24"/>
          <w:szCs w:val="24"/>
        </w:rPr>
        <w:t>优先支持有既往研究数据或明确研究成果的项目，成果有应用价值，课题可复制、可推广，不支持纯理论研究。</w:t>
      </w:r>
    </w:p>
    <w:p w14:paraId="707EFC3B" w14:textId="77777777"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7. 优先支持研究方向明确，研究内容详实，研究方案完整可行的课题。</w:t>
      </w:r>
    </w:p>
    <w:p w14:paraId="529F4CA2" w14:textId="77777777"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8. 优先支持院校对所申报课题有资金、政策、人员和场地等条件支持的课题。</w:t>
      </w:r>
    </w:p>
    <w:p w14:paraId="28B5226C" w14:textId="61761ACD" w:rsidR="00EE355C" w:rsidRPr="00C779F4" w:rsidRDefault="00615C30">
      <w:pPr>
        <w:widowControl w:val="0"/>
        <w:spacing w:before="0" w:after="0" w:line="480" w:lineRule="exact"/>
        <w:ind w:firstLine="480"/>
        <w:rPr>
          <w:rFonts w:ascii="宋体" w:hAnsi="宋体"/>
          <w:sz w:val="24"/>
          <w:szCs w:val="24"/>
        </w:rPr>
      </w:pPr>
      <w:r>
        <w:rPr>
          <w:rFonts w:ascii="宋体" w:hAnsi="宋体"/>
          <w:sz w:val="24"/>
          <w:szCs w:val="24"/>
        </w:rPr>
        <w:t>9</w:t>
      </w:r>
      <w:r w:rsidR="00B8686C" w:rsidRPr="00C779F4">
        <w:rPr>
          <w:rFonts w:ascii="宋体" w:hAnsi="宋体" w:hint="eastAsia"/>
          <w:sz w:val="24"/>
          <w:szCs w:val="24"/>
        </w:rPr>
        <w:t>.申请人应客观、真实地填写申请书，没有知识产权争议，遵守国家有关知识产权法规。在课题申请</w:t>
      </w:r>
      <w:r w:rsidR="00B8686C" w:rsidRPr="00C779F4">
        <w:rPr>
          <w:rFonts w:ascii="宋体" w:hAnsi="宋体"/>
          <w:sz w:val="24"/>
          <w:szCs w:val="24"/>
        </w:rPr>
        <w:t>书</w:t>
      </w:r>
      <w:r w:rsidR="00B8686C" w:rsidRPr="00C779F4">
        <w:rPr>
          <w:rFonts w:ascii="宋体" w:hAnsi="宋体" w:hint="eastAsia"/>
          <w:sz w:val="24"/>
          <w:szCs w:val="24"/>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如获立项即予撤项。</w:t>
      </w:r>
    </w:p>
    <w:p w14:paraId="5088F57D" w14:textId="1D1ADB8F"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1</w:t>
      </w:r>
      <w:r w:rsidR="00615C30">
        <w:rPr>
          <w:rFonts w:ascii="宋体" w:hAnsi="宋体"/>
          <w:sz w:val="24"/>
          <w:szCs w:val="24"/>
        </w:rPr>
        <w:t>0</w:t>
      </w:r>
      <w:r w:rsidRPr="00C779F4">
        <w:rPr>
          <w:rFonts w:ascii="宋体" w:hAnsi="宋体" w:hint="eastAsia"/>
          <w:sz w:val="24"/>
          <w:szCs w:val="24"/>
        </w:rPr>
        <w:t>.</w:t>
      </w:r>
      <w:r w:rsidRPr="00C779F4">
        <w:rPr>
          <w:rFonts w:ascii="宋体" w:hAnsi="宋体" w:cs="宋体" w:hint="eastAsia"/>
          <w:color w:val="auto"/>
          <w:sz w:val="24"/>
          <w:szCs w:val="24"/>
          <w:lang w:val="zh-TW" w:eastAsia="zh-TW"/>
        </w:rPr>
        <w:t>在项目开展过程中，</w:t>
      </w:r>
      <w:r w:rsidRPr="00C779F4">
        <w:rPr>
          <w:rFonts w:ascii="宋体" w:hAnsi="宋体" w:hint="eastAsia"/>
          <w:sz w:val="24"/>
          <w:szCs w:val="24"/>
        </w:rPr>
        <w:t>课题组需具备可独立支配的课题研究基础软硬件条件。</w:t>
      </w:r>
      <w:r w:rsidRPr="00C779F4">
        <w:rPr>
          <w:rFonts w:ascii="宋体" w:hAnsi="宋体" w:cs="宋体" w:hint="eastAsia"/>
          <w:color w:val="auto"/>
          <w:sz w:val="24"/>
          <w:szCs w:val="24"/>
          <w:lang w:val="zh-TW" w:eastAsia="zh-TW"/>
        </w:rPr>
        <w:t>如需外部资源支持，须在项目申报书中明确指出</w:t>
      </w:r>
      <w:r w:rsidRPr="00C779F4">
        <w:rPr>
          <w:rFonts w:ascii="宋体" w:hAnsi="宋体" w:hint="eastAsia"/>
          <w:sz w:val="24"/>
          <w:szCs w:val="24"/>
        </w:rPr>
        <w:t>。</w:t>
      </w:r>
    </w:p>
    <w:p w14:paraId="79AB0218" w14:textId="77777777" w:rsidR="00295228" w:rsidRDefault="00295228">
      <w:pPr>
        <w:pStyle w:val="2"/>
        <w:numPr>
          <w:ilvl w:val="0"/>
          <w:numId w:val="0"/>
        </w:numPr>
        <w:spacing w:beforeLines="100" w:before="312" w:line="480" w:lineRule="exact"/>
        <w:ind w:firstLineChars="200" w:firstLine="560"/>
      </w:pPr>
    </w:p>
    <w:p w14:paraId="313EAAA2" w14:textId="59C8712F" w:rsidR="00EE355C" w:rsidRPr="00C779F4" w:rsidRDefault="00B8686C">
      <w:pPr>
        <w:pStyle w:val="2"/>
        <w:numPr>
          <w:ilvl w:val="0"/>
          <w:numId w:val="0"/>
        </w:numPr>
        <w:spacing w:beforeLines="100" w:before="312" w:line="480" w:lineRule="exact"/>
        <w:ind w:firstLineChars="200" w:firstLine="560"/>
      </w:pPr>
      <w:r w:rsidRPr="00C779F4">
        <w:rPr>
          <w:rFonts w:hint="eastAsia"/>
        </w:rPr>
        <w:lastRenderedPageBreak/>
        <w:t>三、资源及服务</w:t>
      </w:r>
    </w:p>
    <w:p w14:paraId="4C24C3BF" w14:textId="0225052F" w:rsidR="00EE355C" w:rsidRPr="00C779F4" w:rsidRDefault="00B8686C">
      <w:pPr>
        <w:spacing w:before="0" w:after="0" w:line="480" w:lineRule="exact"/>
        <w:ind w:firstLine="480"/>
        <w:rPr>
          <w:rFonts w:ascii="宋体" w:hAnsi="宋体"/>
          <w:sz w:val="24"/>
          <w:szCs w:val="24"/>
        </w:rPr>
      </w:pPr>
      <w:r w:rsidRPr="00C779F4">
        <w:rPr>
          <w:rFonts w:ascii="宋体" w:hAnsi="宋体" w:hint="eastAsia"/>
          <w:sz w:val="24"/>
          <w:szCs w:val="24"/>
        </w:rPr>
        <w:t>“</w:t>
      </w:r>
      <w:r w:rsidR="00C908DB">
        <w:rPr>
          <w:rFonts w:ascii="宋体" w:hAnsi="宋体" w:hint="eastAsia"/>
          <w:color w:val="auto"/>
          <w:sz w:val="24"/>
          <w:szCs w:val="24"/>
        </w:rPr>
        <w:t>迈瑞</w:t>
      </w:r>
      <w:r w:rsidRPr="00C779F4">
        <w:rPr>
          <w:rFonts w:ascii="宋体" w:hAnsi="宋体" w:hint="eastAsia"/>
          <w:color w:val="auto"/>
          <w:sz w:val="24"/>
          <w:szCs w:val="24"/>
        </w:rPr>
        <w:t>检验专项</w:t>
      </w:r>
      <w:r w:rsidR="00C908DB">
        <w:rPr>
          <w:rFonts w:ascii="宋体" w:hAnsi="宋体" w:hint="eastAsia"/>
          <w:sz w:val="24"/>
          <w:szCs w:val="24"/>
        </w:rPr>
        <w:t>”将</w:t>
      </w:r>
      <w:r w:rsidRPr="00C779F4">
        <w:rPr>
          <w:rFonts w:ascii="宋体" w:hAnsi="宋体" w:hint="eastAsia"/>
          <w:sz w:val="24"/>
          <w:szCs w:val="24"/>
        </w:rPr>
        <w:t>以</w:t>
      </w:r>
      <w:r w:rsidR="00C908DB" w:rsidRPr="00C908DB">
        <w:rPr>
          <w:rFonts w:ascii="宋体" w:hAnsi="宋体" w:hint="eastAsia"/>
          <w:sz w:val="24"/>
          <w:szCs w:val="24"/>
        </w:rPr>
        <w:t>深圳迈瑞生物医疗电子股份有限公司提供的检测技术和平台为基础，提供完善的资源和服务体系（见表三），以保证院校顺利开展合作项目，并为院校检验医学方向的学科建设及人才培养提供长期有效的支持。</w:t>
      </w:r>
    </w:p>
    <w:p w14:paraId="39764763" w14:textId="7F329845" w:rsidR="00EE355C" w:rsidRPr="00C779F4" w:rsidRDefault="00B8686C">
      <w:pPr>
        <w:numPr>
          <w:ilvl w:val="0"/>
          <w:numId w:val="3"/>
        </w:numPr>
        <w:spacing w:before="0" w:after="0" w:line="420" w:lineRule="exact"/>
        <w:ind w:firstLine="480"/>
        <w:rPr>
          <w:rFonts w:ascii="宋体" w:hAnsi="宋体"/>
          <w:color w:val="auto"/>
          <w:sz w:val="24"/>
          <w:szCs w:val="24"/>
        </w:rPr>
      </w:pPr>
      <w:r w:rsidRPr="00C779F4">
        <w:rPr>
          <w:rFonts w:ascii="宋体" w:hAnsi="宋体"/>
          <w:color w:val="auto"/>
          <w:sz w:val="24"/>
          <w:szCs w:val="24"/>
        </w:rPr>
        <w:t>“</w:t>
      </w:r>
      <w:r w:rsidR="00C908DB">
        <w:rPr>
          <w:rFonts w:ascii="宋体" w:hAnsi="宋体" w:hint="eastAsia"/>
          <w:color w:val="auto"/>
          <w:sz w:val="24"/>
          <w:szCs w:val="24"/>
        </w:rPr>
        <w:t>迈瑞</w:t>
      </w:r>
      <w:r w:rsidRPr="00C779F4">
        <w:rPr>
          <w:rFonts w:ascii="宋体" w:hAnsi="宋体" w:hint="eastAsia"/>
          <w:color w:val="auto"/>
          <w:sz w:val="24"/>
          <w:szCs w:val="24"/>
        </w:rPr>
        <w:t>检验专项</w:t>
      </w:r>
      <w:r w:rsidRPr="00C779F4">
        <w:rPr>
          <w:rFonts w:ascii="宋体" w:hAnsi="宋体"/>
          <w:color w:val="auto"/>
          <w:sz w:val="24"/>
          <w:szCs w:val="24"/>
        </w:rPr>
        <w:t>”</w:t>
      </w:r>
      <w:r w:rsidRPr="00C779F4">
        <w:rPr>
          <w:rFonts w:ascii="宋体" w:hAnsi="宋体" w:hint="eastAsia"/>
          <w:color w:val="auto"/>
          <w:sz w:val="24"/>
          <w:szCs w:val="24"/>
        </w:rPr>
        <w:t>为每个立项课题提供对应的经费支持与</w:t>
      </w:r>
      <w:r w:rsidR="00C908DB">
        <w:rPr>
          <w:rFonts w:ascii="宋体" w:hAnsi="宋体" w:hint="eastAsia"/>
          <w:color w:val="auto"/>
          <w:sz w:val="24"/>
          <w:szCs w:val="24"/>
        </w:rPr>
        <w:t>技术服务支持</w:t>
      </w:r>
      <w:r w:rsidRPr="00C779F4">
        <w:rPr>
          <w:rFonts w:ascii="宋体" w:hAnsi="宋体" w:hint="eastAsia"/>
          <w:color w:val="auto"/>
          <w:sz w:val="24"/>
          <w:szCs w:val="24"/>
        </w:rPr>
        <w:t>。</w:t>
      </w:r>
    </w:p>
    <w:p w14:paraId="099D6202" w14:textId="60A5CFEA" w:rsidR="00EE355C" w:rsidRPr="00C779F4" w:rsidRDefault="00C908DB" w:rsidP="00C908DB">
      <w:pPr>
        <w:numPr>
          <w:ilvl w:val="0"/>
          <w:numId w:val="3"/>
        </w:numPr>
        <w:spacing w:before="0" w:after="0" w:line="420" w:lineRule="exact"/>
        <w:ind w:firstLineChars="0" w:firstLine="480"/>
        <w:rPr>
          <w:rFonts w:ascii="宋体" w:hAnsi="宋体"/>
          <w:color w:val="auto"/>
          <w:sz w:val="24"/>
          <w:szCs w:val="24"/>
        </w:rPr>
      </w:pPr>
      <w:r w:rsidRPr="00C908DB">
        <w:rPr>
          <w:rFonts w:ascii="宋体" w:hAnsi="宋体" w:hint="eastAsia"/>
          <w:color w:val="auto"/>
          <w:sz w:val="24"/>
          <w:szCs w:val="24"/>
        </w:rPr>
        <w:t>项目发起单位将为院校申报该专项课题提供</w:t>
      </w:r>
      <w:r>
        <w:rPr>
          <w:rFonts w:ascii="宋体" w:hAnsi="宋体" w:hint="eastAsia"/>
          <w:color w:val="auto"/>
          <w:sz w:val="24"/>
          <w:szCs w:val="24"/>
        </w:rPr>
        <w:t>项目咨询服务和技术支持，辅助科研项目方案的落地实行和成果产业化</w:t>
      </w:r>
      <w:r w:rsidR="00B8686C" w:rsidRPr="00C779F4">
        <w:rPr>
          <w:rFonts w:ascii="宋体" w:hAnsi="宋体" w:hint="eastAsia"/>
          <w:color w:val="auto"/>
          <w:sz w:val="24"/>
          <w:szCs w:val="24"/>
        </w:rPr>
        <w:t>。</w:t>
      </w:r>
    </w:p>
    <w:p w14:paraId="4DBAE938" w14:textId="77777777" w:rsidR="00C908DB" w:rsidRPr="00EF20D9" w:rsidRDefault="00C908DB" w:rsidP="003272C1">
      <w:pPr>
        <w:pStyle w:val="ae"/>
        <w:spacing w:beforeLines="50" w:before="156" w:after="0" w:line="360" w:lineRule="auto"/>
        <w:ind w:left="1763" w:firstLineChars="50" w:firstLine="120"/>
        <w:rPr>
          <w:b/>
          <w:sz w:val="24"/>
          <w:szCs w:val="24"/>
        </w:rPr>
      </w:pPr>
      <w:r w:rsidRPr="00EF20D9">
        <w:rPr>
          <w:rFonts w:hint="eastAsia"/>
          <w:b/>
          <w:sz w:val="24"/>
          <w:szCs w:val="24"/>
        </w:rPr>
        <w:t>表三</w:t>
      </w:r>
      <w:r w:rsidRPr="00EF20D9">
        <w:rPr>
          <w:rFonts w:hint="eastAsia"/>
          <w:b/>
          <w:sz w:val="24"/>
          <w:szCs w:val="24"/>
        </w:rPr>
        <w:t xml:space="preserve"> </w:t>
      </w:r>
      <w:r w:rsidRPr="00EF20D9">
        <w:rPr>
          <w:rFonts w:hint="eastAsia"/>
          <w:b/>
          <w:sz w:val="24"/>
          <w:szCs w:val="24"/>
        </w:rPr>
        <w:t>提供给课题研究的软硬件平台说明</w:t>
      </w:r>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18"/>
        <w:gridCol w:w="6401"/>
      </w:tblGrid>
      <w:tr w:rsidR="00C908DB" w:rsidRPr="00EF20D9" w14:paraId="1D9F316C" w14:textId="77777777" w:rsidTr="0090575B">
        <w:trPr>
          <w:trHeight w:val="405"/>
          <w:jc w:val="center"/>
        </w:trPr>
        <w:tc>
          <w:tcPr>
            <w:tcW w:w="1129" w:type="dxa"/>
            <w:shd w:val="clear" w:color="000000" w:fill="C0C0C0"/>
            <w:vAlign w:val="center"/>
          </w:tcPr>
          <w:p w14:paraId="1691F41F" w14:textId="77777777" w:rsidR="00C908DB" w:rsidRPr="00EF20D9" w:rsidRDefault="00C908DB" w:rsidP="0090575B">
            <w:pPr>
              <w:spacing w:before="0" w:after="0" w:line="360" w:lineRule="auto"/>
              <w:ind w:firstLineChars="0" w:firstLine="0"/>
              <w:jc w:val="center"/>
              <w:rPr>
                <w:rFonts w:cs="宋体"/>
                <w:b/>
                <w:szCs w:val="21"/>
              </w:rPr>
            </w:pPr>
            <w:r w:rsidRPr="00EF20D9">
              <w:rPr>
                <w:rFonts w:cs="宋体" w:hint="eastAsia"/>
                <w:b/>
                <w:szCs w:val="21"/>
              </w:rPr>
              <w:t>技术编号</w:t>
            </w:r>
          </w:p>
        </w:tc>
        <w:tc>
          <w:tcPr>
            <w:tcW w:w="1418" w:type="dxa"/>
            <w:shd w:val="clear" w:color="000000" w:fill="C0C0C0"/>
            <w:vAlign w:val="center"/>
          </w:tcPr>
          <w:p w14:paraId="784EF684" w14:textId="77777777" w:rsidR="00C908DB" w:rsidRPr="00EF20D9" w:rsidRDefault="00C908DB" w:rsidP="0090575B">
            <w:pPr>
              <w:spacing w:before="0" w:after="0" w:line="360" w:lineRule="auto"/>
              <w:ind w:firstLineChars="0" w:firstLine="0"/>
              <w:jc w:val="center"/>
              <w:rPr>
                <w:rFonts w:cs="宋体"/>
                <w:b/>
                <w:szCs w:val="21"/>
              </w:rPr>
            </w:pPr>
            <w:r w:rsidRPr="00EF20D9">
              <w:rPr>
                <w:rFonts w:cs="宋体" w:hint="eastAsia"/>
                <w:b/>
                <w:szCs w:val="21"/>
              </w:rPr>
              <w:t>名称</w:t>
            </w:r>
          </w:p>
        </w:tc>
        <w:tc>
          <w:tcPr>
            <w:tcW w:w="6401" w:type="dxa"/>
            <w:shd w:val="clear" w:color="000000" w:fill="C0C0C0"/>
            <w:vAlign w:val="center"/>
          </w:tcPr>
          <w:p w14:paraId="08541B12" w14:textId="77777777" w:rsidR="00C908DB" w:rsidRPr="00EF20D9" w:rsidRDefault="00C908DB" w:rsidP="0090575B">
            <w:pPr>
              <w:spacing w:before="0" w:after="0" w:line="360" w:lineRule="auto"/>
              <w:ind w:firstLineChars="0" w:firstLine="0"/>
              <w:jc w:val="center"/>
              <w:rPr>
                <w:rFonts w:cs="宋体"/>
                <w:b/>
                <w:szCs w:val="21"/>
              </w:rPr>
            </w:pPr>
            <w:r w:rsidRPr="00EF20D9">
              <w:rPr>
                <w:rFonts w:cs="宋体" w:hint="eastAsia"/>
                <w:b/>
                <w:szCs w:val="21"/>
              </w:rPr>
              <w:t>详细介绍</w:t>
            </w:r>
          </w:p>
        </w:tc>
      </w:tr>
      <w:tr w:rsidR="00C908DB" w:rsidRPr="00EF20D9" w14:paraId="1C80D817" w14:textId="77777777" w:rsidTr="0090575B">
        <w:trPr>
          <w:trHeight w:val="2018"/>
          <w:jc w:val="center"/>
        </w:trPr>
        <w:tc>
          <w:tcPr>
            <w:tcW w:w="1129" w:type="dxa"/>
            <w:shd w:val="clear" w:color="auto" w:fill="auto"/>
            <w:vAlign w:val="center"/>
          </w:tcPr>
          <w:p w14:paraId="7F37B254"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C01</w:t>
            </w:r>
          </w:p>
        </w:tc>
        <w:tc>
          <w:tcPr>
            <w:tcW w:w="1418" w:type="dxa"/>
            <w:shd w:val="clear" w:color="auto" w:fill="auto"/>
            <w:vAlign w:val="center"/>
          </w:tcPr>
          <w:p w14:paraId="16C14644" w14:textId="77777777" w:rsidR="00C908DB" w:rsidRPr="00EF20D9" w:rsidRDefault="00C908DB" w:rsidP="0090575B">
            <w:pPr>
              <w:spacing w:line="360" w:lineRule="auto"/>
              <w:ind w:firstLineChars="0" w:firstLine="0"/>
              <w:rPr>
                <w:rFonts w:cs="宋体"/>
                <w:sz w:val="24"/>
                <w:szCs w:val="24"/>
              </w:rPr>
            </w:pPr>
            <w:r w:rsidRPr="00EF20D9">
              <w:rPr>
                <w:rFonts w:cs="宋体" w:hint="eastAsia"/>
                <w:sz w:val="24"/>
                <w:szCs w:val="24"/>
              </w:rPr>
              <w:t>全自动化学发光免疫分析仪</w:t>
            </w:r>
          </w:p>
          <w:p w14:paraId="0FB15B06" w14:textId="77777777" w:rsidR="00C908DB" w:rsidRPr="00EF20D9" w:rsidRDefault="00C908DB" w:rsidP="0090575B">
            <w:pPr>
              <w:spacing w:before="0" w:after="0" w:line="360" w:lineRule="auto"/>
              <w:ind w:firstLineChars="0" w:firstLine="0"/>
              <w:jc w:val="left"/>
              <w:rPr>
                <w:rFonts w:cs="宋体"/>
                <w:sz w:val="24"/>
                <w:szCs w:val="24"/>
              </w:rPr>
            </w:pPr>
          </w:p>
        </w:tc>
        <w:tc>
          <w:tcPr>
            <w:tcW w:w="6401" w:type="dxa"/>
            <w:shd w:val="clear" w:color="auto" w:fill="auto"/>
            <w:vAlign w:val="center"/>
          </w:tcPr>
          <w:p w14:paraId="21FDB120" w14:textId="77777777" w:rsidR="00C908DB" w:rsidRPr="00EF20D9" w:rsidRDefault="00C908DB" w:rsidP="0090575B">
            <w:pPr>
              <w:spacing w:line="360" w:lineRule="auto"/>
              <w:ind w:firstLineChars="0" w:firstLine="0"/>
              <w:rPr>
                <w:rFonts w:cs="宋体"/>
                <w:sz w:val="24"/>
                <w:szCs w:val="24"/>
              </w:rPr>
            </w:pPr>
            <w:r w:rsidRPr="00EF20D9">
              <w:rPr>
                <w:rFonts w:cs="宋体" w:hint="eastAsia"/>
                <w:sz w:val="24"/>
                <w:szCs w:val="24"/>
              </w:rPr>
              <w:t>CL-8000i</w:t>
            </w:r>
            <w:r w:rsidRPr="00EF20D9">
              <w:rPr>
                <w:rFonts w:cs="宋体" w:hint="eastAsia"/>
                <w:sz w:val="24"/>
                <w:szCs w:val="24"/>
              </w:rPr>
              <w:t>全自动化学发光免疫分析系统，采用基于</w:t>
            </w:r>
            <w:r w:rsidRPr="00EF20D9">
              <w:rPr>
                <w:rFonts w:cs="宋体" w:hint="eastAsia"/>
                <w:sz w:val="24"/>
                <w:szCs w:val="24"/>
              </w:rPr>
              <w:t>AMPPD</w:t>
            </w:r>
            <w:r w:rsidRPr="00EF20D9">
              <w:rPr>
                <w:rFonts w:cs="宋体" w:hint="eastAsia"/>
                <w:sz w:val="24"/>
                <w:szCs w:val="24"/>
              </w:rPr>
              <w:t>和碱性磷酸酶的间接化学发光法，与配套的检测试剂共同使用，在临床上用于对来源于人体的血清、血浆和尿液样本中的被分析物进行定性或定量检测，包括激素、糖尿病、心肌标志物、肿瘤标志物、感染性疾病的相关项目。采用</w:t>
            </w:r>
            <w:r w:rsidRPr="00EF20D9">
              <w:rPr>
                <w:rFonts w:cs="宋体" w:hint="eastAsia"/>
                <w:sz w:val="24"/>
                <w:szCs w:val="24"/>
              </w:rPr>
              <w:t>VU-Mix</w:t>
            </w:r>
            <w:r w:rsidRPr="00EF20D9">
              <w:rPr>
                <w:rFonts w:cs="宋体" w:hint="eastAsia"/>
                <w:sz w:val="24"/>
                <w:szCs w:val="24"/>
              </w:rPr>
              <w:t>和</w:t>
            </w:r>
            <w:r w:rsidRPr="00EF20D9">
              <w:rPr>
                <w:rFonts w:cs="宋体" w:hint="eastAsia"/>
                <w:sz w:val="24"/>
                <w:szCs w:val="24"/>
              </w:rPr>
              <w:t>FS-Sampling</w:t>
            </w:r>
            <w:r w:rsidRPr="00EF20D9">
              <w:rPr>
                <w:rFonts w:cs="宋体" w:hint="eastAsia"/>
                <w:sz w:val="24"/>
                <w:szCs w:val="24"/>
              </w:rPr>
              <w:t>等技术，使检测结果更加精准稳定。一键校准质控、快速试剂更换等易用性设计，大幅提高工作效率。高通量的检测速度、样本急中急功能，有效保障</w:t>
            </w:r>
            <w:r w:rsidRPr="00EF20D9">
              <w:rPr>
                <w:rFonts w:cs="宋体" w:hint="eastAsia"/>
                <w:sz w:val="24"/>
                <w:szCs w:val="24"/>
              </w:rPr>
              <w:t>TAT</w:t>
            </w:r>
            <w:r w:rsidRPr="00EF20D9">
              <w:rPr>
                <w:rFonts w:cs="宋体" w:hint="eastAsia"/>
                <w:sz w:val="24"/>
                <w:szCs w:val="24"/>
              </w:rPr>
              <w:t>时间。</w:t>
            </w:r>
          </w:p>
        </w:tc>
      </w:tr>
      <w:tr w:rsidR="00C908DB" w:rsidRPr="00EF20D9" w14:paraId="5C6000F7" w14:textId="77777777" w:rsidTr="0090575B">
        <w:trPr>
          <w:trHeight w:val="1267"/>
          <w:jc w:val="center"/>
        </w:trPr>
        <w:tc>
          <w:tcPr>
            <w:tcW w:w="1129" w:type="dxa"/>
            <w:shd w:val="clear" w:color="auto" w:fill="auto"/>
            <w:vAlign w:val="center"/>
          </w:tcPr>
          <w:p w14:paraId="15EEBE6E"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C02</w:t>
            </w:r>
          </w:p>
        </w:tc>
        <w:tc>
          <w:tcPr>
            <w:tcW w:w="1418" w:type="dxa"/>
            <w:shd w:val="clear" w:color="auto" w:fill="auto"/>
            <w:vAlign w:val="center"/>
          </w:tcPr>
          <w:p w14:paraId="030C2DCC" w14:textId="77777777" w:rsidR="00C908DB" w:rsidRPr="00EF20D9" w:rsidRDefault="00C908DB" w:rsidP="0090575B">
            <w:pPr>
              <w:spacing w:line="360" w:lineRule="auto"/>
              <w:ind w:firstLineChars="0" w:firstLine="0"/>
              <w:rPr>
                <w:rFonts w:cs="宋体"/>
                <w:sz w:val="24"/>
                <w:szCs w:val="24"/>
              </w:rPr>
            </w:pPr>
            <w:r w:rsidRPr="00EF20D9">
              <w:rPr>
                <w:rFonts w:cs="宋体" w:hint="eastAsia"/>
                <w:sz w:val="24"/>
                <w:szCs w:val="24"/>
              </w:rPr>
              <w:t>全自动生化分析系统</w:t>
            </w:r>
          </w:p>
        </w:tc>
        <w:tc>
          <w:tcPr>
            <w:tcW w:w="6401" w:type="dxa"/>
            <w:shd w:val="clear" w:color="auto" w:fill="auto"/>
            <w:vAlign w:val="center"/>
          </w:tcPr>
          <w:p w14:paraId="0545A88E" w14:textId="77777777" w:rsidR="00C908DB" w:rsidRPr="00EF20D9" w:rsidRDefault="00C908DB" w:rsidP="0090575B">
            <w:pPr>
              <w:spacing w:line="360" w:lineRule="auto"/>
              <w:ind w:firstLineChars="0" w:firstLine="0"/>
              <w:rPr>
                <w:rFonts w:cs="宋体"/>
                <w:sz w:val="24"/>
                <w:szCs w:val="24"/>
              </w:rPr>
            </w:pPr>
            <w:r w:rsidRPr="00EF20D9">
              <w:rPr>
                <w:rFonts w:cs="宋体"/>
                <w:sz w:val="24"/>
                <w:szCs w:val="24"/>
              </w:rPr>
              <w:t>BS-2800M</w:t>
            </w:r>
            <w:r w:rsidRPr="00EF20D9">
              <w:rPr>
                <w:rFonts w:cs="宋体" w:hint="eastAsia"/>
                <w:sz w:val="24"/>
                <w:szCs w:val="24"/>
              </w:rPr>
              <w:t>全自动生化分析仪可</w:t>
            </w:r>
            <w:r w:rsidRPr="00EF20D9">
              <w:rPr>
                <w:rFonts w:cs="宋体" w:hint="eastAsia"/>
                <w:sz w:val="24"/>
                <w:szCs w:val="24"/>
              </w:rPr>
              <w:t>1</w:t>
            </w:r>
            <w:r w:rsidRPr="00EF20D9">
              <w:rPr>
                <w:rFonts w:cs="宋体" w:hint="eastAsia"/>
                <w:sz w:val="24"/>
                <w:szCs w:val="24"/>
              </w:rPr>
              <w:t>分钟</w:t>
            </w:r>
            <w:proofErr w:type="gramStart"/>
            <w:r w:rsidRPr="00EF20D9">
              <w:rPr>
                <w:rFonts w:cs="宋体" w:hint="eastAsia"/>
                <w:sz w:val="24"/>
                <w:szCs w:val="24"/>
              </w:rPr>
              <w:t>极</w:t>
            </w:r>
            <w:proofErr w:type="gramEnd"/>
            <w:r w:rsidRPr="00EF20D9">
              <w:rPr>
                <w:rFonts w:cs="宋体" w:hint="eastAsia"/>
                <w:sz w:val="24"/>
                <w:szCs w:val="24"/>
              </w:rPr>
              <w:t>速启动检测，将携带污染率控制在</w:t>
            </w:r>
            <w:r w:rsidRPr="00EF20D9">
              <w:rPr>
                <w:rFonts w:cs="宋体" w:hint="eastAsia"/>
                <w:sz w:val="24"/>
                <w:szCs w:val="24"/>
              </w:rPr>
              <w:t>0.1ppm</w:t>
            </w:r>
            <w:r w:rsidRPr="00EF20D9">
              <w:rPr>
                <w:rFonts w:cs="宋体" w:hint="eastAsia"/>
                <w:sz w:val="24"/>
                <w:szCs w:val="24"/>
              </w:rPr>
              <w:t>以下，可报告超精密的检测结果，提供血清指数低成本及关联提醒方案。系统内嵌独创的全景动态光测平台（</w:t>
            </w:r>
            <w:r w:rsidRPr="00EF20D9">
              <w:rPr>
                <w:rFonts w:cs="宋体" w:hint="eastAsia"/>
                <w:sz w:val="24"/>
                <w:szCs w:val="24"/>
              </w:rPr>
              <w:t>PDR</w:t>
            </w:r>
            <w:r w:rsidRPr="00EF20D9">
              <w:rPr>
                <w:rFonts w:cs="宋体" w:hint="eastAsia"/>
                <w:sz w:val="24"/>
                <w:szCs w:val="24"/>
              </w:rPr>
              <w:t>™技术），通过先进的传感技术与大数据运算技术，实现了全波长、全时段、全反应域并行和动态地收集数据，相比传统光测技术，结果运算的数据量扩充了</w:t>
            </w:r>
            <w:r w:rsidRPr="00EF20D9">
              <w:rPr>
                <w:rFonts w:cs="宋体" w:hint="eastAsia"/>
                <w:sz w:val="24"/>
                <w:szCs w:val="24"/>
              </w:rPr>
              <w:t>1000</w:t>
            </w:r>
            <w:r w:rsidRPr="00EF20D9">
              <w:rPr>
                <w:rFonts w:cs="宋体" w:hint="eastAsia"/>
                <w:sz w:val="24"/>
                <w:szCs w:val="24"/>
              </w:rPr>
              <w:t>倍。同时，系统通过信号模式识别与机器学习技术实现了数据间相互校验，保证反应过程中的每个点采集的数据都精准可靠。</w:t>
            </w:r>
          </w:p>
        </w:tc>
      </w:tr>
      <w:tr w:rsidR="00C908DB" w:rsidRPr="00EF20D9" w14:paraId="571AECF1" w14:textId="77777777" w:rsidTr="0090575B">
        <w:trPr>
          <w:trHeight w:val="1518"/>
          <w:jc w:val="center"/>
        </w:trPr>
        <w:tc>
          <w:tcPr>
            <w:tcW w:w="1129" w:type="dxa"/>
            <w:shd w:val="clear" w:color="auto" w:fill="auto"/>
            <w:vAlign w:val="center"/>
          </w:tcPr>
          <w:p w14:paraId="6A11E919"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lastRenderedPageBreak/>
              <w:t>C0</w:t>
            </w:r>
            <w:r w:rsidRPr="00EF20D9">
              <w:rPr>
                <w:rFonts w:cs="宋体"/>
                <w:sz w:val="24"/>
                <w:szCs w:val="24"/>
              </w:rPr>
              <w:t>3</w:t>
            </w:r>
          </w:p>
        </w:tc>
        <w:tc>
          <w:tcPr>
            <w:tcW w:w="1418" w:type="dxa"/>
            <w:shd w:val="clear" w:color="auto" w:fill="auto"/>
            <w:vAlign w:val="center"/>
          </w:tcPr>
          <w:p w14:paraId="4C284BC8"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全自动血液细胞分析流水线系统</w:t>
            </w:r>
          </w:p>
        </w:tc>
        <w:tc>
          <w:tcPr>
            <w:tcW w:w="6401" w:type="dxa"/>
            <w:shd w:val="clear" w:color="auto" w:fill="auto"/>
            <w:vAlign w:val="center"/>
          </w:tcPr>
          <w:p w14:paraId="40F0207B"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CAL 8000</w:t>
            </w:r>
            <w:r w:rsidRPr="00EF20D9">
              <w:rPr>
                <w:rFonts w:cs="宋体" w:hint="eastAsia"/>
                <w:sz w:val="24"/>
                <w:szCs w:val="24"/>
              </w:rPr>
              <w:t>全自动样本处理系统与全自动血细胞分析仪、</w:t>
            </w:r>
            <w:proofErr w:type="gramStart"/>
            <w:r w:rsidRPr="00EF20D9">
              <w:rPr>
                <w:rFonts w:cs="宋体" w:hint="eastAsia"/>
                <w:sz w:val="24"/>
                <w:szCs w:val="24"/>
              </w:rPr>
              <w:t>全自动推片染色</w:t>
            </w:r>
            <w:proofErr w:type="gramEnd"/>
            <w:r w:rsidRPr="00EF20D9">
              <w:rPr>
                <w:rFonts w:cs="宋体" w:hint="eastAsia"/>
                <w:sz w:val="24"/>
                <w:szCs w:val="24"/>
              </w:rPr>
              <w:t>机连接成血液细胞分析流水线，实现血液样本的自动调度与分配、运输、回收、异常样本自动智能复检。流水线可选择全自动血细胞分析仪、</w:t>
            </w:r>
            <w:proofErr w:type="gramStart"/>
            <w:r w:rsidRPr="00EF20D9">
              <w:rPr>
                <w:rFonts w:cs="宋体" w:hint="eastAsia"/>
                <w:sz w:val="24"/>
                <w:szCs w:val="24"/>
              </w:rPr>
              <w:t>全自动推片机</w:t>
            </w:r>
            <w:proofErr w:type="gramEnd"/>
            <w:r w:rsidRPr="00EF20D9">
              <w:rPr>
                <w:rFonts w:cs="宋体" w:hint="eastAsia"/>
                <w:sz w:val="24"/>
                <w:szCs w:val="24"/>
              </w:rPr>
              <w:t>数量组合成不同测试速度的血细胞分析流水线。急诊样本可在装载平台快速插入，保证急诊样本得以优先、及时测试。提供机外试剂存储设备，可让用户在不停止样本检测的情况下更换试剂。</w:t>
            </w:r>
          </w:p>
        </w:tc>
      </w:tr>
      <w:tr w:rsidR="00C908DB" w:rsidRPr="00EF20D9" w14:paraId="7BABB0DD" w14:textId="77777777" w:rsidTr="0090575B">
        <w:trPr>
          <w:trHeight w:val="4186"/>
          <w:jc w:val="center"/>
        </w:trPr>
        <w:tc>
          <w:tcPr>
            <w:tcW w:w="1129" w:type="dxa"/>
            <w:shd w:val="clear" w:color="auto" w:fill="auto"/>
            <w:vAlign w:val="center"/>
          </w:tcPr>
          <w:p w14:paraId="3F00C6B9"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C04</w:t>
            </w:r>
          </w:p>
        </w:tc>
        <w:tc>
          <w:tcPr>
            <w:tcW w:w="1418" w:type="dxa"/>
            <w:shd w:val="clear" w:color="auto" w:fill="auto"/>
            <w:vAlign w:val="center"/>
          </w:tcPr>
          <w:p w14:paraId="1BD473A3"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全自动凝血分析流水线系统</w:t>
            </w:r>
          </w:p>
        </w:tc>
        <w:tc>
          <w:tcPr>
            <w:tcW w:w="6401" w:type="dxa"/>
            <w:shd w:val="clear" w:color="auto" w:fill="auto"/>
            <w:vAlign w:val="center"/>
          </w:tcPr>
          <w:p w14:paraId="4064F22E"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CX-9000</w:t>
            </w:r>
            <w:r w:rsidRPr="00EF20D9">
              <w:rPr>
                <w:rFonts w:cs="宋体" w:hint="eastAsia"/>
                <w:sz w:val="24"/>
                <w:szCs w:val="24"/>
              </w:rPr>
              <w:t>全自动凝血分析系统，</w:t>
            </w:r>
            <w:proofErr w:type="gramStart"/>
            <w:r w:rsidRPr="00EF20D9">
              <w:rPr>
                <w:rFonts w:cs="宋体" w:hint="eastAsia"/>
                <w:sz w:val="24"/>
                <w:szCs w:val="24"/>
              </w:rPr>
              <w:t>基于定频恒速</w:t>
            </w:r>
            <w:proofErr w:type="gramEnd"/>
            <w:r w:rsidRPr="00EF20D9">
              <w:rPr>
                <w:rFonts w:cs="宋体" w:hint="eastAsia"/>
                <w:sz w:val="24"/>
                <w:szCs w:val="24"/>
              </w:rPr>
              <w:t>光测平台集合凝固法、发色底物法、免疫比浊法检测技术，与创新的</w:t>
            </w:r>
            <w:proofErr w:type="gramStart"/>
            <w:r w:rsidRPr="00EF20D9">
              <w:rPr>
                <w:rFonts w:cs="宋体" w:hint="eastAsia"/>
                <w:sz w:val="24"/>
                <w:szCs w:val="24"/>
              </w:rPr>
              <w:t>联杯液体</w:t>
            </w:r>
            <w:proofErr w:type="gramEnd"/>
            <w:r w:rsidRPr="00EF20D9">
              <w:rPr>
                <w:rFonts w:cs="宋体" w:hint="eastAsia"/>
                <w:sz w:val="24"/>
                <w:szCs w:val="24"/>
              </w:rPr>
              <w:t>试剂配套使用，在临床上用于对血浆样本中的止血与溶血指标进行定量检测。分析系统根据凝血实验室检测场景及操作流程，突破创新。通过独创</w:t>
            </w:r>
            <w:proofErr w:type="gramStart"/>
            <w:r w:rsidRPr="00EF20D9">
              <w:rPr>
                <w:rFonts w:cs="宋体" w:hint="eastAsia"/>
                <w:sz w:val="24"/>
                <w:szCs w:val="24"/>
              </w:rPr>
              <w:t>的定频恒速</w:t>
            </w:r>
            <w:proofErr w:type="gramEnd"/>
            <w:r w:rsidRPr="00EF20D9">
              <w:rPr>
                <w:rFonts w:cs="宋体" w:hint="eastAsia"/>
                <w:sz w:val="24"/>
                <w:szCs w:val="24"/>
              </w:rPr>
              <w:t>技术、多模态即热技术、试剂空中加油技术，实现了对样本</w:t>
            </w:r>
            <w:r w:rsidRPr="00EF20D9">
              <w:rPr>
                <w:rFonts w:cs="宋体" w:hint="eastAsia"/>
                <w:sz w:val="24"/>
                <w:szCs w:val="24"/>
              </w:rPr>
              <w:t>TAT</w:t>
            </w:r>
            <w:r w:rsidRPr="00EF20D9">
              <w:rPr>
                <w:rFonts w:cs="宋体" w:hint="eastAsia"/>
                <w:sz w:val="24"/>
                <w:szCs w:val="24"/>
              </w:rPr>
              <w:t>管理效率突破性的提升；通过独创的试剂性状及承载形式、智慧全面的信息管理系统，实现了对试剂性能、检测成本精益化的管理。</w:t>
            </w:r>
          </w:p>
        </w:tc>
      </w:tr>
      <w:tr w:rsidR="00C908DB" w:rsidRPr="00EF20D9" w14:paraId="066D70AA" w14:textId="77777777" w:rsidTr="0090575B">
        <w:trPr>
          <w:trHeight w:val="1518"/>
          <w:jc w:val="center"/>
        </w:trPr>
        <w:tc>
          <w:tcPr>
            <w:tcW w:w="1129" w:type="dxa"/>
            <w:shd w:val="clear" w:color="auto" w:fill="auto"/>
            <w:vAlign w:val="center"/>
          </w:tcPr>
          <w:p w14:paraId="04AD0C8B"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C05</w:t>
            </w:r>
          </w:p>
        </w:tc>
        <w:tc>
          <w:tcPr>
            <w:tcW w:w="1418" w:type="dxa"/>
            <w:shd w:val="clear" w:color="auto" w:fill="auto"/>
            <w:vAlign w:val="center"/>
          </w:tcPr>
          <w:p w14:paraId="7DC6E684"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全自动尿液分析流水线系统</w:t>
            </w:r>
          </w:p>
        </w:tc>
        <w:tc>
          <w:tcPr>
            <w:tcW w:w="6401" w:type="dxa"/>
            <w:shd w:val="clear" w:color="auto" w:fill="auto"/>
            <w:vAlign w:val="center"/>
          </w:tcPr>
          <w:p w14:paraId="528654BB"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迈瑞全新推出的</w:t>
            </w:r>
            <w:r w:rsidRPr="00EF20D9">
              <w:rPr>
                <w:rFonts w:cs="宋体" w:hint="eastAsia"/>
                <w:sz w:val="24"/>
                <w:szCs w:val="24"/>
              </w:rPr>
              <w:t>EU 8600</w:t>
            </w:r>
            <w:r w:rsidRPr="00EF20D9">
              <w:rPr>
                <w:rFonts w:cs="宋体" w:hint="eastAsia"/>
                <w:sz w:val="24"/>
                <w:szCs w:val="24"/>
              </w:rPr>
              <w:t>全自动尿液分析流水线，</w:t>
            </w:r>
            <w:r w:rsidRPr="00EF20D9">
              <w:rPr>
                <w:rFonts w:cs="宋体" w:hint="eastAsia"/>
                <w:sz w:val="24"/>
                <w:szCs w:val="24"/>
              </w:rPr>
              <w:t xml:space="preserve"> </w:t>
            </w:r>
            <w:r w:rsidRPr="00EF20D9">
              <w:rPr>
                <w:rFonts w:cs="宋体" w:hint="eastAsia"/>
                <w:sz w:val="24"/>
                <w:szCs w:val="24"/>
              </w:rPr>
              <w:t>是一款干化学与尿沉渣结果符合率极高的高性能流水线，可以大幅降低手工离心镜检率。因其研发是基于迈瑞高端血球流水线轨道技术，以及阅片机高清成像技术的深厚沉淀为产品研发起点，首家攻克了一直被业界公认的“不可能三角”技术瓶颈。因为迈瑞医疗是首家在尿液领域中采用多景深融合技术与磐石超稳防抖平台在内的多项技术联合的检测平台。多景深融合技术，拍摄单个视野细胞的时候，拍摄了多幅不同高度下的细胞图像，然后将每一层中细胞最清晰特征提取出来，然后融合形成了一张高清的细胞图像；高速稳定运动控制平台，在将速度提升</w:t>
            </w:r>
            <w:r w:rsidRPr="00EF20D9">
              <w:rPr>
                <w:rFonts w:cs="宋体" w:hint="eastAsia"/>
                <w:sz w:val="24"/>
                <w:szCs w:val="24"/>
              </w:rPr>
              <w:t>10</w:t>
            </w:r>
            <w:r w:rsidRPr="00EF20D9">
              <w:rPr>
                <w:rFonts w:cs="宋体" w:hint="eastAsia"/>
                <w:sz w:val="24"/>
                <w:szCs w:val="24"/>
              </w:rPr>
              <w:t>倍的前提下，还将抖动幅度控制在</w:t>
            </w:r>
            <w:r w:rsidRPr="00EF20D9">
              <w:rPr>
                <w:rFonts w:cs="宋体" w:hint="eastAsia"/>
                <w:sz w:val="24"/>
                <w:szCs w:val="24"/>
              </w:rPr>
              <w:t>100nm</w:t>
            </w:r>
            <w:r w:rsidRPr="00EF20D9">
              <w:rPr>
                <w:rFonts w:cs="宋体" w:hint="eastAsia"/>
                <w:sz w:val="24"/>
                <w:szCs w:val="24"/>
              </w:rPr>
              <w:t>的水平，革新了显微成像</w:t>
            </w:r>
            <w:r w:rsidRPr="00EF20D9">
              <w:rPr>
                <w:rFonts w:cs="宋体" w:hint="eastAsia"/>
                <w:sz w:val="24"/>
                <w:szCs w:val="24"/>
              </w:rPr>
              <w:lastRenderedPageBreak/>
              <w:t>的模式，保证高清又高速。</w:t>
            </w:r>
            <w:r w:rsidRPr="00EF20D9">
              <w:rPr>
                <w:rFonts w:cs="宋体" w:hint="eastAsia"/>
                <w:sz w:val="24"/>
                <w:szCs w:val="24"/>
              </w:rPr>
              <w:t>EU 8600</w:t>
            </w:r>
            <w:r w:rsidRPr="00EF20D9">
              <w:rPr>
                <w:rFonts w:cs="宋体" w:hint="eastAsia"/>
                <w:sz w:val="24"/>
                <w:szCs w:val="24"/>
              </w:rPr>
              <w:t>清晰一致，从容审核，开启尿液检测的全新的清晰世界。</w:t>
            </w:r>
          </w:p>
        </w:tc>
      </w:tr>
      <w:tr w:rsidR="00C908DB" w:rsidRPr="00EF20D9" w14:paraId="612FAF37" w14:textId="77777777" w:rsidTr="0090575B">
        <w:trPr>
          <w:trHeight w:val="1518"/>
          <w:jc w:val="center"/>
        </w:trPr>
        <w:tc>
          <w:tcPr>
            <w:tcW w:w="1129" w:type="dxa"/>
            <w:shd w:val="clear" w:color="auto" w:fill="auto"/>
            <w:vAlign w:val="center"/>
          </w:tcPr>
          <w:p w14:paraId="2F87DE5C"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lastRenderedPageBreak/>
              <w:t>C06</w:t>
            </w:r>
          </w:p>
        </w:tc>
        <w:tc>
          <w:tcPr>
            <w:tcW w:w="1418" w:type="dxa"/>
            <w:shd w:val="clear" w:color="auto" w:fill="auto"/>
            <w:vAlign w:val="center"/>
          </w:tcPr>
          <w:p w14:paraId="0A6A3688"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全自动微生物鉴定药</w:t>
            </w:r>
            <w:proofErr w:type="gramStart"/>
            <w:r w:rsidRPr="00EF20D9">
              <w:rPr>
                <w:rFonts w:cs="宋体" w:hint="eastAsia"/>
                <w:sz w:val="24"/>
                <w:szCs w:val="24"/>
              </w:rPr>
              <w:t>敏分析</w:t>
            </w:r>
            <w:proofErr w:type="gramEnd"/>
            <w:r w:rsidRPr="00EF20D9">
              <w:rPr>
                <w:rFonts w:cs="宋体" w:hint="eastAsia"/>
                <w:sz w:val="24"/>
                <w:szCs w:val="24"/>
              </w:rPr>
              <w:t>系统</w:t>
            </w:r>
          </w:p>
        </w:tc>
        <w:tc>
          <w:tcPr>
            <w:tcW w:w="6401" w:type="dxa"/>
            <w:shd w:val="clear" w:color="auto" w:fill="auto"/>
            <w:vAlign w:val="center"/>
          </w:tcPr>
          <w:p w14:paraId="27BAC158"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sz w:val="24"/>
                <w:szCs w:val="24"/>
              </w:rPr>
              <w:t>AF-600</w:t>
            </w:r>
            <w:r w:rsidRPr="00EF20D9">
              <w:rPr>
                <w:rFonts w:cs="宋体" w:hint="eastAsia"/>
                <w:sz w:val="24"/>
                <w:szCs w:val="24"/>
              </w:rPr>
              <w:t>全自动微生物鉴定药</w:t>
            </w:r>
            <w:proofErr w:type="gramStart"/>
            <w:r w:rsidRPr="00EF20D9">
              <w:rPr>
                <w:rFonts w:cs="宋体" w:hint="eastAsia"/>
                <w:sz w:val="24"/>
                <w:szCs w:val="24"/>
              </w:rPr>
              <w:t>敏分析</w:t>
            </w:r>
            <w:proofErr w:type="gramEnd"/>
            <w:r w:rsidRPr="00EF20D9">
              <w:rPr>
                <w:rFonts w:cs="宋体" w:hint="eastAsia"/>
                <w:sz w:val="24"/>
                <w:szCs w:val="24"/>
              </w:rPr>
              <w:t>系统可容纳</w:t>
            </w:r>
            <w:r w:rsidRPr="00EF20D9">
              <w:rPr>
                <w:rFonts w:cs="宋体" w:hint="eastAsia"/>
                <w:sz w:val="24"/>
                <w:szCs w:val="24"/>
              </w:rPr>
              <w:t>32/64</w:t>
            </w:r>
            <w:r w:rsidRPr="00EF20D9">
              <w:rPr>
                <w:rFonts w:cs="宋体" w:hint="eastAsia"/>
                <w:sz w:val="24"/>
                <w:szCs w:val="24"/>
              </w:rPr>
              <w:t>个标本同时检测，随到随检；测试卡检测过程中自动动态判读、自动归集、自动自检。与其配套的药敏检测试剂盒如下：肠杆菌科细菌检测试剂盒</w:t>
            </w:r>
            <w:r w:rsidRPr="00EF20D9">
              <w:rPr>
                <w:rFonts w:cs="宋体" w:hint="eastAsia"/>
                <w:sz w:val="24"/>
                <w:szCs w:val="24"/>
              </w:rPr>
              <w:t xml:space="preserve"> TDR ONE-96</w:t>
            </w:r>
            <w:r w:rsidRPr="00EF20D9">
              <w:rPr>
                <w:rFonts w:cs="宋体" w:hint="eastAsia"/>
                <w:sz w:val="24"/>
                <w:szCs w:val="24"/>
              </w:rPr>
              <w:t>、非发酵</w:t>
            </w:r>
            <w:proofErr w:type="gramStart"/>
            <w:r w:rsidRPr="00EF20D9">
              <w:rPr>
                <w:rFonts w:cs="宋体" w:hint="eastAsia"/>
                <w:sz w:val="24"/>
                <w:szCs w:val="24"/>
              </w:rPr>
              <w:t>菌</w:t>
            </w:r>
            <w:proofErr w:type="gramEnd"/>
            <w:r w:rsidRPr="00EF20D9">
              <w:rPr>
                <w:rFonts w:cs="宋体" w:hint="eastAsia"/>
                <w:sz w:val="24"/>
                <w:szCs w:val="24"/>
              </w:rPr>
              <w:t>检测试剂盒</w:t>
            </w:r>
            <w:r w:rsidRPr="00EF20D9">
              <w:rPr>
                <w:rFonts w:cs="宋体" w:hint="eastAsia"/>
                <w:sz w:val="24"/>
                <w:szCs w:val="24"/>
              </w:rPr>
              <w:t xml:space="preserve"> TDR NF-96 </w:t>
            </w:r>
            <w:r w:rsidRPr="00EF20D9">
              <w:rPr>
                <w:rFonts w:cs="宋体" w:hint="eastAsia"/>
                <w:sz w:val="24"/>
                <w:szCs w:val="24"/>
              </w:rPr>
              <w:t>、葡萄球菌检测试剂盒</w:t>
            </w:r>
            <w:r w:rsidRPr="00EF20D9">
              <w:rPr>
                <w:rFonts w:cs="宋体" w:hint="eastAsia"/>
                <w:sz w:val="24"/>
                <w:szCs w:val="24"/>
              </w:rPr>
              <w:t xml:space="preserve"> TDR STAPH-96</w:t>
            </w:r>
            <w:r w:rsidRPr="00EF20D9">
              <w:rPr>
                <w:rFonts w:cs="宋体" w:hint="eastAsia"/>
                <w:sz w:val="24"/>
                <w:szCs w:val="24"/>
              </w:rPr>
              <w:t>、链球菌科细菌检测试剂盒</w:t>
            </w:r>
            <w:r w:rsidRPr="00EF20D9">
              <w:rPr>
                <w:rFonts w:cs="宋体" w:hint="eastAsia"/>
                <w:sz w:val="24"/>
                <w:szCs w:val="24"/>
              </w:rPr>
              <w:t xml:space="preserve"> TDR STR-96 </w:t>
            </w:r>
            <w:r w:rsidRPr="00EF20D9">
              <w:rPr>
                <w:rFonts w:cs="宋体" w:hint="eastAsia"/>
                <w:sz w:val="24"/>
                <w:szCs w:val="24"/>
              </w:rPr>
              <w:t>、酵母样真菌检测试剂盒</w:t>
            </w:r>
            <w:r w:rsidRPr="00EF20D9">
              <w:rPr>
                <w:rFonts w:cs="宋体" w:hint="eastAsia"/>
                <w:sz w:val="24"/>
                <w:szCs w:val="24"/>
              </w:rPr>
              <w:t xml:space="preserve"> TDR YEAST-96</w:t>
            </w:r>
            <w:r w:rsidRPr="00EF20D9">
              <w:rPr>
                <w:rFonts w:cs="宋体" w:hint="eastAsia"/>
                <w:sz w:val="24"/>
                <w:szCs w:val="24"/>
              </w:rPr>
              <w:t>、奈</w:t>
            </w:r>
            <w:proofErr w:type="gramStart"/>
            <w:r w:rsidRPr="00EF20D9">
              <w:rPr>
                <w:rFonts w:cs="宋体" w:hint="eastAsia"/>
                <w:sz w:val="24"/>
                <w:szCs w:val="24"/>
              </w:rPr>
              <w:t>瑟</w:t>
            </w:r>
            <w:proofErr w:type="gramEnd"/>
            <w:r w:rsidRPr="00EF20D9">
              <w:rPr>
                <w:rFonts w:cs="宋体" w:hint="eastAsia"/>
                <w:sz w:val="24"/>
                <w:szCs w:val="24"/>
              </w:rPr>
              <w:t>菌</w:t>
            </w:r>
            <w:r w:rsidRPr="00EF20D9">
              <w:rPr>
                <w:rFonts w:cs="宋体" w:hint="eastAsia"/>
                <w:sz w:val="24"/>
                <w:szCs w:val="24"/>
              </w:rPr>
              <w:t>/</w:t>
            </w:r>
            <w:r w:rsidRPr="00EF20D9">
              <w:rPr>
                <w:rFonts w:cs="宋体" w:hint="eastAsia"/>
                <w:sz w:val="24"/>
                <w:szCs w:val="24"/>
              </w:rPr>
              <w:t>嗜血杆菌检测试剂盒</w:t>
            </w:r>
            <w:r w:rsidRPr="00EF20D9">
              <w:rPr>
                <w:rFonts w:cs="宋体" w:hint="eastAsia"/>
                <w:sz w:val="24"/>
                <w:szCs w:val="24"/>
              </w:rPr>
              <w:t xml:space="preserve"> TDR NH-96</w:t>
            </w:r>
            <w:r w:rsidRPr="00EF20D9">
              <w:rPr>
                <w:rFonts w:cs="宋体" w:hint="eastAsia"/>
                <w:sz w:val="24"/>
                <w:szCs w:val="24"/>
              </w:rPr>
              <w:t>、棒状杆菌检测试剂盒</w:t>
            </w:r>
            <w:r w:rsidRPr="00EF20D9">
              <w:rPr>
                <w:rFonts w:cs="宋体" w:hint="eastAsia"/>
                <w:sz w:val="24"/>
                <w:szCs w:val="24"/>
              </w:rPr>
              <w:t xml:space="preserve"> TDR CB-96</w:t>
            </w:r>
            <w:r w:rsidRPr="00EF20D9">
              <w:rPr>
                <w:rFonts w:cs="宋体" w:hint="eastAsia"/>
                <w:sz w:val="24"/>
                <w:szCs w:val="24"/>
              </w:rPr>
              <w:t>、芽孢杆菌检测试剂盒</w:t>
            </w:r>
            <w:r w:rsidRPr="00EF20D9">
              <w:rPr>
                <w:rFonts w:cs="宋体" w:hint="eastAsia"/>
                <w:sz w:val="24"/>
                <w:szCs w:val="24"/>
              </w:rPr>
              <w:t xml:space="preserve"> TDR BAC-96</w:t>
            </w:r>
            <w:r w:rsidRPr="00EF20D9">
              <w:rPr>
                <w:rFonts w:cs="宋体" w:hint="eastAsia"/>
                <w:sz w:val="24"/>
                <w:szCs w:val="24"/>
              </w:rPr>
              <w:t>、</w:t>
            </w:r>
            <w:proofErr w:type="gramStart"/>
            <w:r w:rsidRPr="00EF20D9">
              <w:rPr>
                <w:rFonts w:cs="宋体" w:hint="eastAsia"/>
                <w:sz w:val="24"/>
                <w:szCs w:val="24"/>
              </w:rPr>
              <w:t>弧菌科</w:t>
            </w:r>
            <w:proofErr w:type="gramEnd"/>
            <w:r w:rsidRPr="00EF20D9">
              <w:rPr>
                <w:rFonts w:cs="宋体" w:hint="eastAsia"/>
                <w:sz w:val="24"/>
                <w:szCs w:val="24"/>
              </w:rPr>
              <w:t>细菌检测试剂盒</w:t>
            </w:r>
            <w:r w:rsidRPr="00EF20D9">
              <w:rPr>
                <w:rFonts w:cs="宋体" w:hint="eastAsia"/>
                <w:sz w:val="24"/>
                <w:szCs w:val="24"/>
              </w:rPr>
              <w:t xml:space="preserve"> TDR VIB-96</w:t>
            </w:r>
          </w:p>
          <w:p w14:paraId="429820D0"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、厌氧菌生化·药敏试验卡</w:t>
            </w:r>
            <w:r w:rsidRPr="00EF20D9">
              <w:rPr>
                <w:rFonts w:cs="宋体" w:hint="eastAsia"/>
                <w:sz w:val="24"/>
                <w:szCs w:val="24"/>
              </w:rPr>
              <w:t xml:space="preserve"> TDR ANA-96</w:t>
            </w:r>
            <w:r w:rsidRPr="00EF20D9">
              <w:rPr>
                <w:rFonts w:cs="宋体" w:hint="eastAsia"/>
                <w:sz w:val="24"/>
                <w:szCs w:val="24"/>
              </w:rPr>
              <w:t>、链球菌科细菌检测试剂盒</w:t>
            </w:r>
            <w:r w:rsidRPr="00EF20D9">
              <w:rPr>
                <w:rFonts w:cs="宋体" w:hint="eastAsia"/>
                <w:sz w:val="24"/>
                <w:szCs w:val="24"/>
              </w:rPr>
              <w:t xml:space="preserve"> TDR STR-AST</w:t>
            </w:r>
            <w:r w:rsidRPr="00EF20D9">
              <w:rPr>
                <w:rFonts w:cs="宋体" w:hint="eastAsia"/>
                <w:sz w:val="24"/>
                <w:szCs w:val="24"/>
              </w:rPr>
              <w:t>、酵母样真菌检测试剂盒</w:t>
            </w:r>
            <w:r w:rsidRPr="00EF20D9">
              <w:rPr>
                <w:rFonts w:cs="宋体" w:hint="eastAsia"/>
                <w:sz w:val="24"/>
                <w:szCs w:val="24"/>
              </w:rPr>
              <w:t xml:space="preserve"> TDR YEAST-AST</w:t>
            </w:r>
            <w:r w:rsidRPr="00EF20D9">
              <w:rPr>
                <w:rFonts w:cs="宋体" w:hint="eastAsia"/>
                <w:sz w:val="24"/>
                <w:szCs w:val="24"/>
              </w:rPr>
              <w:t>、奈</w:t>
            </w:r>
            <w:proofErr w:type="gramStart"/>
            <w:r w:rsidRPr="00EF20D9">
              <w:rPr>
                <w:rFonts w:cs="宋体" w:hint="eastAsia"/>
                <w:sz w:val="24"/>
                <w:szCs w:val="24"/>
              </w:rPr>
              <w:t>瑟</w:t>
            </w:r>
            <w:proofErr w:type="gramEnd"/>
            <w:r w:rsidRPr="00EF20D9">
              <w:rPr>
                <w:rFonts w:cs="宋体" w:hint="eastAsia"/>
                <w:sz w:val="24"/>
                <w:szCs w:val="24"/>
              </w:rPr>
              <w:t>菌</w:t>
            </w:r>
            <w:r w:rsidRPr="00EF20D9">
              <w:rPr>
                <w:rFonts w:cs="宋体" w:hint="eastAsia"/>
                <w:sz w:val="24"/>
                <w:szCs w:val="24"/>
              </w:rPr>
              <w:t>/</w:t>
            </w:r>
            <w:r w:rsidRPr="00EF20D9">
              <w:rPr>
                <w:rFonts w:cs="宋体" w:hint="eastAsia"/>
                <w:sz w:val="24"/>
                <w:szCs w:val="24"/>
              </w:rPr>
              <w:t>嗜血杆菌检测试剂盒</w:t>
            </w:r>
            <w:r w:rsidRPr="00EF20D9">
              <w:rPr>
                <w:rFonts w:cs="宋体" w:hint="eastAsia"/>
                <w:sz w:val="24"/>
                <w:szCs w:val="24"/>
              </w:rPr>
              <w:t xml:space="preserve"> TDR NH-AST</w:t>
            </w:r>
          </w:p>
        </w:tc>
      </w:tr>
      <w:tr w:rsidR="00C908DB" w:rsidRPr="00EF20D9" w14:paraId="1074FE21" w14:textId="77777777" w:rsidTr="0090575B">
        <w:trPr>
          <w:trHeight w:val="409"/>
          <w:jc w:val="center"/>
        </w:trPr>
        <w:tc>
          <w:tcPr>
            <w:tcW w:w="1129" w:type="dxa"/>
            <w:shd w:val="clear" w:color="auto" w:fill="auto"/>
            <w:vAlign w:val="center"/>
          </w:tcPr>
          <w:p w14:paraId="7D61C125"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w:t>
            </w:r>
            <w:r w:rsidRPr="00EF20D9">
              <w:rPr>
                <w:rFonts w:cs="宋体"/>
                <w:sz w:val="24"/>
                <w:szCs w:val="24"/>
              </w:rPr>
              <w:t>07</w:t>
            </w:r>
          </w:p>
        </w:tc>
        <w:tc>
          <w:tcPr>
            <w:tcW w:w="1418" w:type="dxa"/>
            <w:shd w:val="clear" w:color="auto" w:fill="auto"/>
            <w:vAlign w:val="center"/>
          </w:tcPr>
          <w:p w14:paraId="2A3BA56C"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发光</w:t>
            </w:r>
            <w:r w:rsidRPr="00EF20D9">
              <w:rPr>
                <w:rFonts w:cs="宋体" w:hint="eastAsia"/>
                <w:sz w:val="24"/>
                <w:szCs w:val="24"/>
              </w:rPr>
              <w:t>-</w:t>
            </w:r>
            <w:r w:rsidRPr="00EF20D9">
              <w:rPr>
                <w:rFonts w:cs="宋体" w:hint="eastAsia"/>
                <w:sz w:val="24"/>
                <w:szCs w:val="24"/>
              </w:rPr>
              <w:t>肿瘤标志物检测</w:t>
            </w:r>
          </w:p>
        </w:tc>
        <w:tc>
          <w:tcPr>
            <w:tcW w:w="6401" w:type="dxa"/>
            <w:shd w:val="clear" w:color="auto" w:fill="auto"/>
          </w:tcPr>
          <w:p w14:paraId="4D45F92C"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包括</w:t>
            </w:r>
            <w:r w:rsidRPr="00EF20D9">
              <w:rPr>
                <w:rFonts w:cs="宋体" w:hint="eastAsia"/>
                <w:sz w:val="24"/>
                <w:szCs w:val="24"/>
              </w:rPr>
              <w:t>CA19-9</w:t>
            </w:r>
            <w:r w:rsidRPr="00EF20D9">
              <w:rPr>
                <w:rFonts w:cs="宋体" w:hint="eastAsia"/>
                <w:sz w:val="24"/>
                <w:szCs w:val="24"/>
              </w:rPr>
              <w:t>、</w:t>
            </w:r>
            <w:proofErr w:type="spellStart"/>
            <w:r w:rsidRPr="00EF20D9">
              <w:rPr>
                <w:rFonts w:cs="宋体" w:hint="eastAsia"/>
                <w:sz w:val="24"/>
                <w:szCs w:val="24"/>
              </w:rPr>
              <w:t>ProGRP</w:t>
            </w:r>
            <w:proofErr w:type="spellEnd"/>
            <w:r w:rsidRPr="00EF20D9">
              <w:rPr>
                <w:rFonts w:cs="宋体" w:hint="eastAsia"/>
                <w:sz w:val="24"/>
                <w:szCs w:val="24"/>
              </w:rPr>
              <w:t>、</w:t>
            </w:r>
            <w:r w:rsidRPr="00EF20D9">
              <w:rPr>
                <w:rFonts w:cs="宋体" w:hint="eastAsia"/>
                <w:sz w:val="24"/>
                <w:szCs w:val="24"/>
              </w:rPr>
              <w:t>CA242</w:t>
            </w:r>
            <w:r w:rsidRPr="00EF20D9">
              <w:rPr>
                <w:rFonts w:cs="宋体" w:hint="eastAsia"/>
                <w:sz w:val="24"/>
                <w:szCs w:val="24"/>
              </w:rPr>
              <w:t>、</w:t>
            </w:r>
            <w:r w:rsidRPr="00EF20D9">
              <w:rPr>
                <w:rFonts w:cs="宋体" w:hint="eastAsia"/>
                <w:sz w:val="24"/>
                <w:szCs w:val="24"/>
              </w:rPr>
              <w:t>AFP</w:t>
            </w:r>
            <w:r w:rsidRPr="00EF20D9">
              <w:rPr>
                <w:rFonts w:cs="宋体" w:hint="eastAsia"/>
                <w:sz w:val="24"/>
                <w:szCs w:val="24"/>
              </w:rPr>
              <w:t>、</w:t>
            </w:r>
            <w:r w:rsidRPr="00EF20D9">
              <w:rPr>
                <w:rFonts w:cs="宋体" w:hint="eastAsia"/>
                <w:sz w:val="24"/>
                <w:szCs w:val="24"/>
              </w:rPr>
              <w:t>CEA</w:t>
            </w:r>
            <w:r w:rsidRPr="00EF20D9">
              <w:rPr>
                <w:rFonts w:cs="宋体" w:hint="eastAsia"/>
                <w:sz w:val="24"/>
                <w:szCs w:val="24"/>
              </w:rPr>
              <w:t>、</w:t>
            </w:r>
            <w:r w:rsidRPr="00EF20D9">
              <w:rPr>
                <w:rFonts w:cs="宋体" w:hint="eastAsia"/>
                <w:sz w:val="24"/>
                <w:szCs w:val="24"/>
              </w:rPr>
              <w:t>CA125</w:t>
            </w:r>
            <w:r w:rsidRPr="00EF20D9">
              <w:rPr>
                <w:rFonts w:cs="宋体" w:hint="eastAsia"/>
                <w:sz w:val="24"/>
                <w:szCs w:val="24"/>
              </w:rPr>
              <w:t>、</w:t>
            </w:r>
            <w:r w:rsidRPr="00EF20D9">
              <w:rPr>
                <w:rFonts w:cs="宋体" w:hint="eastAsia"/>
                <w:sz w:val="24"/>
                <w:szCs w:val="24"/>
              </w:rPr>
              <w:t>CA153</w:t>
            </w:r>
            <w:r w:rsidRPr="00EF20D9">
              <w:rPr>
                <w:rFonts w:cs="宋体" w:hint="eastAsia"/>
                <w:sz w:val="24"/>
                <w:szCs w:val="24"/>
              </w:rPr>
              <w:t>、</w:t>
            </w:r>
            <w:r w:rsidRPr="00EF20D9">
              <w:rPr>
                <w:rFonts w:cs="宋体" w:hint="eastAsia"/>
                <w:sz w:val="24"/>
                <w:szCs w:val="24"/>
              </w:rPr>
              <w:t>TPSA</w:t>
            </w:r>
            <w:r w:rsidRPr="00EF20D9">
              <w:rPr>
                <w:rFonts w:cs="宋体" w:hint="eastAsia"/>
                <w:sz w:val="24"/>
                <w:szCs w:val="24"/>
              </w:rPr>
              <w:t>、</w:t>
            </w:r>
            <w:r w:rsidRPr="00EF20D9">
              <w:rPr>
                <w:rFonts w:cs="宋体" w:hint="eastAsia"/>
                <w:sz w:val="24"/>
                <w:szCs w:val="24"/>
              </w:rPr>
              <w:t>FPSA</w:t>
            </w:r>
            <w:r w:rsidRPr="00EF20D9">
              <w:rPr>
                <w:rFonts w:cs="宋体" w:hint="eastAsia"/>
                <w:sz w:val="24"/>
                <w:szCs w:val="24"/>
              </w:rPr>
              <w:t>、</w:t>
            </w:r>
            <w:r w:rsidRPr="00EF20D9">
              <w:rPr>
                <w:rFonts w:cs="宋体" w:hint="eastAsia"/>
                <w:sz w:val="24"/>
                <w:szCs w:val="24"/>
              </w:rPr>
              <w:t>FERR</w:t>
            </w:r>
            <w:r w:rsidRPr="00EF20D9">
              <w:rPr>
                <w:rFonts w:cs="宋体" w:hint="eastAsia"/>
                <w:sz w:val="24"/>
                <w:szCs w:val="24"/>
              </w:rPr>
              <w:t>、</w:t>
            </w:r>
            <w:r w:rsidRPr="00EF20D9">
              <w:rPr>
                <w:rFonts w:cs="宋体" w:hint="eastAsia"/>
                <w:sz w:val="24"/>
                <w:szCs w:val="24"/>
              </w:rPr>
              <w:t>CA724</w:t>
            </w:r>
            <w:r w:rsidRPr="00EF20D9">
              <w:rPr>
                <w:rFonts w:cs="宋体" w:hint="eastAsia"/>
                <w:sz w:val="24"/>
                <w:szCs w:val="24"/>
              </w:rPr>
              <w:t>、</w:t>
            </w:r>
            <w:r w:rsidRPr="00EF20D9">
              <w:rPr>
                <w:rFonts w:cs="宋体" w:hint="eastAsia"/>
                <w:sz w:val="24"/>
                <w:szCs w:val="24"/>
              </w:rPr>
              <w:t>NSE</w:t>
            </w:r>
            <w:r w:rsidRPr="00EF20D9">
              <w:rPr>
                <w:rFonts w:cs="宋体" w:hint="eastAsia"/>
                <w:sz w:val="24"/>
                <w:szCs w:val="24"/>
              </w:rPr>
              <w:t>、</w:t>
            </w:r>
            <w:r w:rsidRPr="00EF20D9">
              <w:rPr>
                <w:rFonts w:cs="宋体" w:hint="eastAsia"/>
                <w:sz w:val="24"/>
                <w:szCs w:val="24"/>
              </w:rPr>
              <w:t>Cyfra21-1</w:t>
            </w:r>
            <w:r w:rsidRPr="00EF20D9">
              <w:rPr>
                <w:rFonts w:cs="宋体" w:hint="eastAsia"/>
                <w:sz w:val="24"/>
                <w:szCs w:val="24"/>
              </w:rPr>
              <w:t>、</w:t>
            </w:r>
            <w:r w:rsidRPr="00EF20D9">
              <w:rPr>
                <w:rFonts w:cs="宋体" w:hint="eastAsia"/>
                <w:sz w:val="24"/>
                <w:szCs w:val="24"/>
              </w:rPr>
              <w:t>PGI</w:t>
            </w:r>
            <w:r w:rsidRPr="00EF20D9">
              <w:rPr>
                <w:rFonts w:cs="宋体" w:hint="eastAsia"/>
                <w:sz w:val="24"/>
                <w:szCs w:val="24"/>
              </w:rPr>
              <w:t>、</w:t>
            </w:r>
            <w:r w:rsidRPr="00EF20D9">
              <w:rPr>
                <w:rFonts w:cs="宋体" w:hint="eastAsia"/>
                <w:sz w:val="24"/>
                <w:szCs w:val="24"/>
              </w:rPr>
              <w:t>PGII</w:t>
            </w:r>
            <w:r w:rsidRPr="00EF20D9">
              <w:rPr>
                <w:rFonts w:cs="宋体" w:hint="eastAsia"/>
                <w:sz w:val="24"/>
                <w:szCs w:val="24"/>
              </w:rPr>
              <w:t>、</w:t>
            </w:r>
            <w:r w:rsidRPr="00EF20D9">
              <w:rPr>
                <w:rFonts w:cs="宋体" w:hint="eastAsia"/>
                <w:sz w:val="24"/>
                <w:szCs w:val="24"/>
              </w:rPr>
              <w:t>CA50</w:t>
            </w:r>
            <w:r w:rsidRPr="00EF20D9">
              <w:rPr>
                <w:rFonts w:cs="宋体" w:hint="eastAsia"/>
                <w:sz w:val="24"/>
                <w:szCs w:val="24"/>
              </w:rPr>
              <w:t>、</w:t>
            </w:r>
            <w:r w:rsidRPr="00EF20D9">
              <w:rPr>
                <w:rFonts w:cs="宋体" w:hint="eastAsia"/>
                <w:sz w:val="24"/>
                <w:szCs w:val="24"/>
              </w:rPr>
              <w:t>SCCA</w:t>
            </w:r>
            <w:r w:rsidRPr="00EF20D9">
              <w:rPr>
                <w:rFonts w:cs="宋体" w:hint="eastAsia"/>
                <w:sz w:val="24"/>
                <w:szCs w:val="24"/>
              </w:rPr>
              <w:t>、</w:t>
            </w:r>
            <w:r w:rsidRPr="00EF20D9">
              <w:rPr>
                <w:rFonts w:cs="宋体" w:hint="eastAsia"/>
                <w:sz w:val="24"/>
                <w:szCs w:val="24"/>
              </w:rPr>
              <w:t>HE4</w:t>
            </w:r>
            <w:r w:rsidRPr="00EF20D9">
              <w:rPr>
                <w:rFonts w:cs="宋体" w:hint="eastAsia"/>
                <w:sz w:val="24"/>
                <w:szCs w:val="24"/>
              </w:rPr>
              <w:t>有助于肺癌、胃肠恶性肿瘤、卵巢癌等的诊断、鉴别诊断及还可用于病程评估、预后判断和转移复发监测。</w:t>
            </w:r>
          </w:p>
        </w:tc>
      </w:tr>
      <w:tr w:rsidR="00C908DB" w:rsidRPr="00EF20D9" w14:paraId="31E949B8" w14:textId="77777777" w:rsidTr="0090575B">
        <w:trPr>
          <w:trHeight w:val="421"/>
          <w:jc w:val="center"/>
        </w:trPr>
        <w:tc>
          <w:tcPr>
            <w:tcW w:w="1129" w:type="dxa"/>
            <w:shd w:val="clear" w:color="auto" w:fill="auto"/>
            <w:vAlign w:val="center"/>
          </w:tcPr>
          <w:p w14:paraId="7345F61A"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w:t>
            </w:r>
            <w:r w:rsidRPr="00EF20D9">
              <w:rPr>
                <w:rFonts w:cs="宋体"/>
                <w:sz w:val="24"/>
                <w:szCs w:val="24"/>
              </w:rPr>
              <w:t>08</w:t>
            </w:r>
          </w:p>
        </w:tc>
        <w:tc>
          <w:tcPr>
            <w:tcW w:w="1418" w:type="dxa"/>
            <w:shd w:val="clear" w:color="auto" w:fill="auto"/>
            <w:vAlign w:val="center"/>
          </w:tcPr>
          <w:p w14:paraId="5DFF3389"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发光</w:t>
            </w:r>
            <w:r w:rsidRPr="00EF20D9">
              <w:rPr>
                <w:rFonts w:cs="宋体" w:hint="eastAsia"/>
                <w:sz w:val="24"/>
                <w:szCs w:val="24"/>
              </w:rPr>
              <w:t>-</w:t>
            </w:r>
            <w:r w:rsidRPr="00EF20D9">
              <w:rPr>
                <w:rFonts w:cs="宋体" w:hint="eastAsia"/>
                <w:sz w:val="24"/>
                <w:szCs w:val="24"/>
              </w:rPr>
              <w:t>甲状腺功能检测</w:t>
            </w:r>
          </w:p>
        </w:tc>
        <w:tc>
          <w:tcPr>
            <w:tcW w:w="6401" w:type="dxa"/>
            <w:shd w:val="clear" w:color="auto" w:fill="auto"/>
          </w:tcPr>
          <w:p w14:paraId="226904C9" w14:textId="77777777" w:rsidR="00C908DB" w:rsidRPr="00EF20D9" w:rsidRDefault="00C908DB" w:rsidP="0090575B">
            <w:pPr>
              <w:shd w:val="clear" w:color="auto" w:fill="FFFFFF"/>
              <w:spacing w:before="0" w:after="180" w:line="360" w:lineRule="auto"/>
              <w:ind w:firstLineChars="0" w:firstLine="0"/>
              <w:jc w:val="left"/>
              <w:rPr>
                <w:rFonts w:cs="宋体"/>
                <w:sz w:val="24"/>
                <w:szCs w:val="24"/>
              </w:rPr>
            </w:pPr>
            <w:r w:rsidRPr="00EF20D9">
              <w:rPr>
                <w:rFonts w:cs="宋体" w:hint="eastAsia"/>
                <w:sz w:val="24"/>
                <w:szCs w:val="24"/>
              </w:rPr>
              <w:t>包括项目：</w:t>
            </w:r>
            <w:r w:rsidRPr="00EF20D9">
              <w:rPr>
                <w:rFonts w:cs="宋体" w:hint="eastAsia"/>
                <w:sz w:val="24"/>
                <w:szCs w:val="24"/>
              </w:rPr>
              <w:t>TSH</w:t>
            </w:r>
            <w:r w:rsidRPr="00EF20D9">
              <w:rPr>
                <w:rFonts w:cs="宋体" w:hint="eastAsia"/>
                <w:sz w:val="24"/>
                <w:szCs w:val="24"/>
              </w:rPr>
              <w:t>、</w:t>
            </w:r>
            <w:r w:rsidRPr="00EF20D9">
              <w:rPr>
                <w:rFonts w:cs="宋体" w:hint="eastAsia"/>
                <w:sz w:val="24"/>
                <w:szCs w:val="24"/>
              </w:rPr>
              <w:t>T3</w:t>
            </w:r>
            <w:r w:rsidRPr="00EF20D9">
              <w:rPr>
                <w:rFonts w:cs="宋体" w:hint="eastAsia"/>
                <w:sz w:val="24"/>
                <w:szCs w:val="24"/>
              </w:rPr>
              <w:t>、</w:t>
            </w:r>
            <w:r w:rsidRPr="00EF20D9">
              <w:rPr>
                <w:rFonts w:cs="宋体" w:hint="eastAsia"/>
                <w:sz w:val="24"/>
                <w:szCs w:val="24"/>
              </w:rPr>
              <w:t>T4</w:t>
            </w:r>
            <w:r w:rsidRPr="00EF20D9">
              <w:rPr>
                <w:rFonts w:cs="宋体" w:hint="eastAsia"/>
                <w:sz w:val="24"/>
                <w:szCs w:val="24"/>
              </w:rPr>
              <w:t>、</w:t>
            </w:r>
            <w:r w:rsidRPr="00EF20D9">
              <w:rPr>
                <w:rFonts w:cs="宋体" w:hint="eastAsia"/>
                <w:sz w:val="24"/>
                <w:szCs w:val="24"/>
              </w:rPr>
              <w:t>FT3</w:t>
            </w:r>
            <w:r w:rsidRPr="00EF20D9">
              <w:rPr>
                <w:rFonts w:cs="宋体" w:hint="eastAsia"/>
                <w:sz w:val="24"/>
                <w:szCs w:val="24"/>
              </w:rPr>
              <w:t>、</w:t>
            </w:r>
            <w:r w:rsidRPr="00EF20D9">
              <w:rPr>
                <w:rFonts w:cs="宋体" w:hint="eastAsia"/>
                <w:sz w:val="24"/>
                <w:szCs w:val="24"/>
              </w:rPr>
              <w:t>FT4</w:t>
            </w:r>
            <w:r w:rsidRPr="00EF20D9">
              <w:rPr>
                <w:rFonts w:cs="宋体" w:hint="eastAsia"/>
                <w:sz w:val="24"/>
                <w:szCs w:val="24"/>
              </w:rPr>
              <w:t>、</w:t>
            </w:r>
            <w:r w:rsidRPr="00EF20D9">
              <w:rPr>
                <w:rFonts w:cs="宋体" w:hint="eastAsia"/>
                <w:sz w:val="24"/>
                <w:szCs w:val="24"/>
              </w:rPr>
              <w:t>rT3</w:t>
            </w:r>
            <w:r w:rsidRPr="00EF20D9">
              <w:rPr>
                <w:rFonts w:cs="宋体" w:hint="eastAsia"/>
                <w:sz w:val="24"/>
                <w:szCs w:val="24"/>
              </w:rPr>
              <w:t>、</w:t>
            </w:r>
            <w:proofErr w:type="spellStart"/>
            <w:r w:rsidRPr="00EF20D9">
              <w:rPr>
                <w:rFonts w:cs="宋体" w:hint="eastAsia"/>
                <w:sz w:val="24"/>
                <w:szCs w:val="24"/>
              </w:rPr>
              <w:t>TPOAb</w:t>
            </w:r>
            <w:proofErr w:type="spellEnd"/>
            <w:r w:rsidRPr="00EF20D9">
              <w:rPr>
                <w:rFonts w:cs="宋体" w:hint="eastAsia"/>
                <w:sz w:val="24"/>
                <w:szCs w:val="24"/>
              </w:rPr>
              <w:t>、</w:t>
            </w:r>
            <w:proofErr w:type="spellStart"/>
            <w:r w:rsidRPr="00EF20D9">
              <w:rPr>
                <w:rFonts w:cs="宋体" w:hint="eastAsia"/>
                <w:sz w:val="24"/>
                <w:szCs w:val="24"/>
              </w:rPr>
              <w:t>TgAb</w:t>
            </w:r>
            <w:proofErr w:type="spellEnd"/>
            <w:r w:rsidRPr="00EF20D9">
              <w:rPr>
                <w:rFonts w:cs="宋体" w:hint="eastAsia"/>
                <w:sz w:val="24"/>
                <w:szCs w:val="24"/>
              </w:rPr>
              <w:t>、</w:t>
            </w:r>
            <w:proofErr w:type="spellStart"/>
            <w:r w:rsidRPr="00EF20D9">
              <w:rPr>
                <w:rFonts w:cs="宋体" w:hint="eastAsia"/>
                <w:sz w:val="24"/>
                <w:szCs w:val="24"/>
              </w:rPr>
              <w:t>TRAb</w:t>
            </w:r>
            <w:proofErr w:type="spellEnd"/>
            <w:r w:rsidRPr="00EF20D9">
              <w:rPr>
                <w:rFonts w:cs="宋体" w:hint="eastAsia"/>
                <w:sz w:val="24"/>
                <w:szCs w:val="24"/>
              </w:rPr>
              <w:t>、</w:t>
            </w:r>
            <w:proofErr w:type="spellStart"/>
            <w:r w:rsidRPr="00EF20D9">
              <w:rPr>
                <w:rFonts w:cs="宋体" w:hint="eastAsia"/>
                <w:sz w:val="24"/>
                <w:szCs w:val="24"/>
              </w:rPr>
              <w:t>Tg</w:t>
            </w:r>
            <w:proofErr w:type="spellEnd"/>
            <w:r w:rsidRPr="00EF20D9">
              <w:rPr>
                <w:rFonts w:cs="宋体" w:hint="eastAsia"/>
                <w:sz w:val="24"/>
                <w:szCs w:val="24"/>
              </w:rPr>
              <w:t>，主要用于甲状腺相关疾病诊断、治疗监测等。</w:t>
            </w:r>
          </w:p>
        </w:tc>
      </w:tr>
      <w:tr w:rsidR="00C908DB" w:rsidRPr="00EF20D9" w14:paraId="4F88223F" w14:textId="77777777" w:rsidTr="0090575B">
        <w:trPr>
          <w:trHeight w:val="277"/>
          <w:jc w:val="center"/>
        </w:trPr>
        <w:tc>
          <w:tcPr>
            <w:tcW w:w="1129" w:type="dxa"/>
            <w:shd w:val="clear" w:color="auto" w:fill="auto"/>
            <w:vAlign w:val="center"/>
          </w:tcPr>
          <w:p w14:paraId="5DBDE23F"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w:t>
            </w:r>
            <w:r w:rsidRPr="00EF20D9">
              <w:rPr>
                <w:rFonts w:cs="宋体"/>
                <w:sz w:val="24"/>
                <w:szCs w:val="24"/>
              </w:rPr>
              <w:t>09</w:t>
            </w:r>
          </w:p>
        </w:tc>
        <w:tc>
          <w:tcPr>
            <w:tcW w:w="1418" w:type="dxa"/>
            <w:shd w:val="clear" w:color="auto" w:fill="auto"/>
            <w:vAlign w:val="center"/>
          </w:tcPr>
          <w:p w14:paraId="589D72E3"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发光</w:t>
            </w:r>
            <w:r w:rsidRPr="00EF20D9">
              <w:rPr>
                <w:rFonts w:cs="宋体" w:hint="eastAsia"/>
                <w:sz w:val="24"/>
                <w:szCs w:val="24"/>
              </w:rPr>
              <w:t>-</w:t>
            </w:r>
            <w:r w:rsidRPr="00EF20D9">
              <w:rPr>
                <w:rFonts w:cs="宋体" w:hint="eastAsia"/>
                <w:sz w:val="24"/>
                <w:szCs w:val="24"/>
              </w:rPr>
              <w:t>传染性疾病检测</w:t>
            </w:r>
          </w:p>
        </w:tc>
        <w:tc>
          <w:tcPr>
            <w:tcW w:w="6401" w:type="dxa"/>
            <w:shd w:val="clear" w:color="auto" w:fill="auto"/>
          </w:tcPr>
          <w:p w14:paraId="2B4D4CCD"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包括项目：</w:t>
            </w:r>
            <w:proofErr w:type="spellStart"/>
            <w:r w:rsidRPr="00EF20D9">
              <w:rPr>
                <w:rFonts w:cs="宋体" w:hint="eastAsia"/>
                <w:sz w:val="24"/>
                <w:szCs w:val="24"/>
              </w:rPr>
              <w:t>HBsAg</w:t>
            </w:r>
            <w:proofErr w:type="spellEnd"/>
            <w:r w:rsidRPr="00EF20D9">
              <w:rPr>
                <w:rFonts w:cs="宋体" w:hint="eastAsia"/>
                <w:sz w:val="24"/>
                <w:szCs w:val="24"/>
              </w:rPr>
              <w:t>、</w:t>
            </w:r>
            <w:r w:rsidRPr="00EF20D9">
              <w:rPr>
                <w:rFonts w:cs="宋体" w:hint="eastAsia"/>
                <w:sz w:val="24"/>
                <w:szCs w:val="24"/>
              </w:rPr>
              <w:t>Anti-HBs</w:t>
            </w:r>
            <w:r w:rsidRPr="00EF20D9">
              <w:rPr>
                <w:rFonts w:cs="宋体" w:hint="eastAsia"/>
                <w:sz w:val="24"/>
                <w:szCs w:val="24"/>
              </w:rPr>
              <w:t>、</w:t>
            </w:r>
            <w:proofErr w:type="spellStart"/>
            <w:r w:rsidRPr="00EF20D9">
              <w:rPr>
                <w:rFonts w:cs="宋体" w:hint="eastAsia"/>
                <w:sz w:val="24"/>
                <w:szCs w:val="24"/>
              </w:rPr>
              <w:t>HBeAg</w:t>
            </w:r>
            <w:proofErr w:type="spellEnd"/>
            <w:r w:rsidRPr="00EF20D9">
              <w:rPr>
                <w:rFonts w:cs="宋体" w:hint="eastAsia"/>
                <w:sz w:val="24"/>
                <w:szCs w:val="24"/>
              </w:rPr>
              <w:t>、</w:t>
            </w:r>
            <w:r w:rsidRPr="00EF20D9">
              <w:rPr>
                <w:rFonts w:cs="宋体" w:hint="eastAsia"/>
                <w:sz w:val="24"/>
                <w:szCs w:val="24"/>
              </w:rPr>
              <w:t>Q-</w:t>
            </w:r>
            <w:proofErr w:type="spellStart"/>
            <w:r w:rsidRPr="00EF20D9">
              <w:rPr>
                <w:rFonts w:cs="宋体" w:hint="eastAsia"/>
                <w:sz w:val="24"/>
                <w:szCs w:val="24"/>
              </w:rPr>
              <w:t>HBeAg</w:t>
            </w:r>
            <w:proofErr w:type="spellEnd"/>
            <w:r w:rsidRPr="00EF20D9">
              <w:rPr>
                <w:rFonts w:cs="宋体" w:hint="eastAsia"/>
                <w:sz w:val="24"/>
                <w:szCs w:val="24"/>
              </w:rPr>
              <w:t>、</w:t>
            </w:r>
            <w:r w:rsidRPr="00EF20D9">
              <w:rPr>
                <w:rFonts w:cs="宋体" w:hint="eastAsia"/>
                <w:sz w:val="24"/>
                <w:szCs w:val="24"/>
              </w:rPr>
              <w:t>Anti-</w:t>
            </w:r>
            <w:proofErr w:type="spellStart"/>
            <w:r w:rsidRPr="00EF20D9">
              <w:rPr>
                <w:rFonts w:cs="宋体" w:hint="eastAsia"/>
                <w:sz w:val="24"/>
                <w:szCs w:val="24"/>
              </w:rPr>
              <w:t>HBe</w:t>
            </w:r>
            <w:proofErr w:type="spellEnd"/>
            <w:r w:rsidRPr="00EF20D9">
              <w:rPr>
                <w:rFonts w:cs="宋体" w:hint="eastAsia"/>
                <w:sz w:val="24"/>
                <w:szCs w:val="24"/>
              </w:rPr>
              <w:t>、</w:t>
            </w:r>
            <w:r w:rsidRPr="00EF20D9">
              <w:rPr>
                <w:rFonts w:cs="宋体" w:hint="eastAsia"/>
                <w:sz w:val="24"/>
                <w:szCs w:val="24"/>
              </w:rPr>
              <w:t>Q-Anti-</w:t>
            </w:r>
            <w:proofErr w:type="spellStart"/>
            <w:r w:rsidRPr="00EF20D9">
              <w:rPr>
                <w:rFonts w:cs="宋体" w:hint="eastAsia"/>
                <w:sz w:val="24"/>
                <w:szCs w:val="24"/>
              </w:rPr>
              <w:t>HBe</w:t>
            </w:r>
            <w:proofErr w:type="spellEnd"/>
            <w:r w:rsidRPr="00EF20D9">
              <w:rPr>
                <w:rFonts w:cs="宋体" w:hint="eastAsia"/>
                <w:sz w:val="24"/>
                <w:szCs w:val="24"/>
              </w:rPr>
              <w:t>、</w:t>
            </w:r>
            <w:r w:rsidRPr="00EF20D9">
              <w:rPr>
                <w:rFonts w:cs="宋体" w:hint="eastAsia"/>
                <w:sz w:val="24"/>
                <w:szCs w:val="24"/>
              </w:rPr>
              <w:t>Anti-</w:t>
            </w:r>
            <w:proofErr w:type="spellStart"/>
            <w:r w:rsidRPr="00EF20D9">
              <w:rPr>
                <w:rFonts w:cs="宋体" w:hint="eastAsia"/>
                <w:sz w:val="24"/>
                <w:szCs w:val="24"/>
              </w:rPr>
              <w:t>HBc</w:t>
            </w:r>
            <w:proofErr w:type="spellEnd"/>
            <w:r w:rsidRPr="00EF20D9">
              <w:rPr>
                <w:rFonts w:cs="宋体" w:hint="eastAsia"/>
                <w:sz w:val="24"/>
                <w:szCs w:val="24"/>
              </w:rPr>
              <w:t>、</w:t>
            </w:r>
            <w:r w:rsidRPr="00EF20D9">
              <w:rPr>
                <w:rFonts w:cs="宋体" w:hint="eastAsia"/>
                <w:sz w:val="24"/>
                <w:szCs w:val="24"/>
              </w:rPr>
              <w:t>Q-Anti-</w:t>
            </w:r>
            <w:proofErr w:type="spellStart"/>
            <w:r w:rsidRPr="00EF20D9">
              <w:rPr>
                <w:rFonts w:cs="宋体" w:hint="eastAsia"/>
                <w:sz w:val="24"/>
                <w:szCs w:val="24"/>
              </w:rPr>
              <w:t>HBc</w:t>
            </w:r>
            <w:proofErr w:type="spellEnd"/>
            <w:r w:rsidRPr="00EF20D9">
              <w:rPr>
                <w:rFonts w:cs="宋体" w:hint="eastAsia"/>
                <w:sz w:val="24"/>
                <w:szCs w:val="24"/>
              </w:rPr>
              <w:t>、</w:t>
            </w:r>
            <w:r w:rsidRPr="00EF20D9">
              <w:rPr>
                <w:rFonts w:cs="宋体" w:hint="eastAsia"/>
                <w:sz w:val="24"/>
                <w:szCs w:val="24"/>
              </w:rPr>
              <w:t>HIV Ag/Ab</w:t>
            </w:r>
            <w:r w:rsidRPr="00EF20D9">
              <w:rPr>
                <w:rFonts w:cs="宋体" w:hint="eastAsia"/>
                <w:sz w:val="24"/>
                <w:szCs w:val="24"/>
              </w:rPr>
              <w:t>、</w:t>
            </w:r>
            <w:r w:rsidRPr="00EF20D9">
              <w:rPr>
                <w:rFonts w:cs="宋体" w:hint="eastAsia"/>
                <w:sz w:val="24"/>
                <w:szCs w:val="24"/>
              </w:rPr>
              <w:t>Anti-HCV</w:t>
            </w:r>
            <w:r w:rsidRPr="00EF20D9">
              <w:rPr>
                <w:rFonts w:cs="宋体" w:hint="eastAsia"/>
                <w:sz w:val="24"/>
                <w:szCs w:val="24"/>
              </w:rPr>
              <w:t>、</w:t>
            </w:r>
            <w:r w:rsidRPr="00EF20D9">
              <w:rPr>
                <w:rFonts w:cs="宋体" w:hint="eastAsia"/>
                <w:sz w:val="24"/>
                <w:szCs w:val="24"/>
              </w:rPr>
              <w:t>Anti-TP,</w:t>
            </w:r>
            <w:r w:rsidRPr="00EF20D9">
              <w:rPr>
                <w:rFonts w:cs="宋体" w:hint="eastAsia"/>
                <w:sz w:val="24"/>
                <w:szCs w:val="24"/>
              </w:rPr>
              <w:t>临床上可用于对乙型肝炎病毒、艾滋病毒、梅毒、丙型肝炎病毒感染疾病的诊断、病程评估、治疗监测和预后判断。</w:t>
            </w:r>
          </w:p>
        </w:tc>
      </w:tr>
      <w:tr w:rsidR="00C908DB" w:rsidRPr="00EF20D9" w14:paraId="1FFCDB9B" w14:textId="77777777" w:rsidTr="0090575B">
        <w:trPr>
          <w:trHeight w:val="277"/>
          <w:jc w:val="center"/>
        </w:trPr>
        <w:tc>
          <w:tcPr>
            <w:tcW w:w="1129" w:type="dxa"/>
            <w:shd w:val="clear" w:color="auto" w:fill="auto"/>
            <w:vAlign w:val="center"/>
          </w:tcPr>
          <w:p w14:paraId="3496B98F"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lastRenderedPageBreak/>
              <w:t>C</w:t>
            </w:r>
            <w:r w:rsidRPr="00EF20D9">
              <w:rPr>
                <w:rFonts w:cs="宋体"/>
                <w:sz w:val="24"/>
                <w:szCs w:val="24"/>
              </w:rPr>
              <w:t>10</w:t>
            </w:r>
          </w:p>
        </w:tc>
        <w:tc>
          <w:tcPr>
            <w:tcW w:w="1418" w:type="dxa"/>
            <w:shd w:val="clear" w:color="auto" w:fill="auto"/>
            <w:vAlign w:val="center"/>
          </w:tcPr>
          <w:p w14:paraId="1559614B"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发光</w:t>
            </w:r>
            <w:r w:rsidRPr="00EF20D9">
              <w:rPr>
                <w:rFonts w:cs="宋体" w:hint="eastAsia"/>
                <w:sz w:val="24"/>
                <w:szCs w:val="24"/>
              </w:rPr>
              <w:t>-</w:t>
            </w:r>
            <w:r w:rsidRPr="00EF20D9">
              <w:rPr>
                <w:rFonts w:cs="宋体" w:hint="eastAsia"/>
                <w:sz w:val="24"/>
                <w:szCs w:val="24"/>
              </w:rPr>
              <w:t>甲状旁腺检测</w:t>
            </w:r>
          </w:p>
        </w:tc>
        <w:tc>
          <w:tcPr>
            <w:tcW w:w="6401" w:type="dxa"/>
            <w:shd w:val="clear" w:color="auto" w:fill="auto"/>
          </w:tcPr>
          <w:p w14:paraId="20F63285"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包括项目：</w:t>
            </w:r>
            <w:r w:rsidRPr="00EF20D9">
              <w:rPr>
                <w:rFonts w:cs="宋体" w:hint="eastAsia"/>
                <w:sz w:val="24"/>
                <w:szCs w:val="24"/>
              </w:rPr>
              <w:t>CT</w:t>
            </w:r>
            <w:r w:rsidRPr="00EF20D9">
              <w:rPr>
                <w:rFonts w:cs="宋体" w:hint="eastAsia"/>
                <w:sz w:val="24"/>
                <w:szCs w:val="24"/>
              </w:rPr>
              <w:t>和</w:t>
            </w:r>
            <w:r w:rsidRPr="00EF20D9">
              <w:rPr>
                <w:rFonts w:cs="宋体" w:hint="eastAsia"/>
                <w:sz w:val="24"/>
                <w:szCs w:val="24"/>
              </w:rPr>
              <w:t>PTH</w:t>
            </w:r>
            <w:r w:rsidRPr="00EF20D9">
              <w:rPr>
                <w:rFonts w:cs="宋体" w:hint="eastAsia"/>
                <w:sz w:val="24"/>
                <w:szCs w:val="24"/>
              </w:rPr>
              <w:t>，两者联合使用可协助判断甲旁</w:t>
            </w:r>
            <w:proofErr w:type="gramStart"/>
            <w:r w:rsidRPr="00EF20D9">
              <w:rPr>
                <w:rFonts w:cs="宋体" w:hint="eastAsia"/>
                <w:sz w:val="24"/>
                <w:szCs w:val="24"/>
              </w:rPr>
              <w:t>亢</w:t>
            </w:r>
            <w:proofErr w:type="gramEnd"/>
            <w:r w:rsidRPr="00EF20D9">
              <w:rPr>
                <w:rFonts w:cs="宋体" w:hint="eastAsia"/>
                <w:sz w:val="24"/>
                <w:szCs w:val="24"/>
              </w:rPr>
              <w:t>/</w:t>
            </w:r>
            <w:proofErr w:type="gramStart"/>
            <w:r w:rsidRPr="00EF20D9">
              <w:rPr>
                <w:rFonts w:cs="宋体" w:hint="eastAsia"/>
                <w:sz w:val="24"/>
                <w:szCs w:val="24"/>
              </w:rPr>
              <w:t>减导致</w:t>
            </w:r>
            <w:proofErr w:type="gramEnd"/>
            <w:r w:rsidRPr="00EF20D9">
              <w:rPr>
                <w:rFonts w:cs="宋体" w:hint="eastAsia"/>
                <w:sz w:val="24"/>
                <w:szCs w:val="24"/>
              </w:rPr>
              <w:t>的</w:t>
            </w:r>
            <w:proofErr w:type="gramStart"/>
            <w:r w:rsidRPr="00EF20D9">
              <w:rPr>
                <w:rFonts w:cs="宋体" w:hint="eastAsia"/>
                <w:sz w:val="24"/>
                <w:szCs w:val="24"/>
              </w:rPr>
              <w:t>高钙血或</w:t>
            </w:r>
            <w:proofErr w:type="gramEnd"/>
            <w:r w:rsidRPr="00EF20D9">
              <w:rPr>
                <w:rFonts w:cs="宋体" w:hint="eastAsia"/>
                <w:sz w:val="24"/>
                <w:szCs w:val="24"/>
              </w:rPr>
              <w:t>低钙血症的骨代谢失衡；同时也是老年骨质疏松及甲状腺髓样癌的特殊标志物，可辅助病情监测和疗效评估。</w:t>
            </w:r>
          </w:p>
        </w:tc>
      </w:tr>
      <w:tr w:rsidR="00C908DB" w:rsidRPr="00EF20D9" w14:paraId="5126DF5C" w14:textId="77777777" w:rsidTr="0090575B">
        <w:trPr>
          <w:trHeight w:val="277"/>
          <w:jc w:val="center"/>
        </w:trPr>
        <w:tc>
          <w:tcPr>
            <w:tcW w:w="1129" w:type="dxa"/>
            <w:shd w:val="clear" w:color="auto" w:fill="auto"/>
            <w:vAlign w:val="center"/>
          </w:tcPr>
          <w:p w14:paraId="42818121"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w:t>
            </w:r>
            <w:r w:rsidRPr="00EF20D9">
              <w:rPr>
                <w:rFonts w:cs="宋体"/>
                <w:sz w:val="24"/>
                <w:szCs w:val="24"/>
              </w:rPr>
              <w:t>11</w:t>
            </w:r>
          </w:p>
        </w:tc>
        <w:tc>
          <w:tcPr>
            <w:tcW w:w="1418" w:type="dxa"/>
            <w:shd w:val="clear" w:color="auto" w:fill="auto"/>
            <w:vAlign w:val="center"/>
          </w:tcPr>
          <w:p w14:paraId="7D43B530"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发光</w:t>
            </w:r>
            <w:r w:rsidRPr="00EF20D9">
              <w:rPr>
                <w:rFonts w:cs="宋体" w:hint="eastAsia"/>
                <w:sz w:val="24"/>
                <w:szCs w:val="24"/>
              </w:rPr>
              <w:t>-</w:t>
            </w:r>
            <w:r w:rsidRPr="00EF20D9">
              <w:rPr>
                <w:rFonts w:cs="宋体" w:hint="eastAsia"/>
                <w:sz w:val="24"/>
                <w:szCs w:val="24"/>
              </w:rPr>
              <w:t>激素检测</w:t>
            </w:r>
          </w:p>
        </w:tc>
        <w:tc>
          <w:tcPr>
            <w:tcW w:w="6401" w:type="dxa"/>
            <w:shd w:val="clear" w:color="auto" w:fill="auto"/>
          </w:tcPr>
          <w:p w14:paraId="298AE95A"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包括项目：</w:t>
            </w:r>
            <w:r w:rsidRPr="00EF20D9">
              <w:rPr>
                <w:rFonts w:cs="宋体" w:hint="eastAsia"/>
                <w:sz w:val="24"/>
                <w:szCs w:val="24"/>
              </w:rPr>
              <w:t>F</w:t>
            </w:r>
            <w:r w:rsidRPr="00EF20D9">
              <w:rPr>
                <w:rFonts w:cs="宋体"/>
                <w:sz w:val="24"/>
                <w:szCs w:val="24"/>
              </w:rPr>
              <w:t>SH</w:t>
            </w:r>
            <w:r w:rsidRPr="00EF20D9">
              <w:rPr>
                <w:rFonts w:cs="宋体" w:hint="eastAsia"/>
                <w:sz w:val="24"/>
                <w:szCs w:val="24"/>
              </w:rPr>
              <w:t>、</w:t>
            </w:r>
            <w:r w:rsidRPr="00EF20D9">
              <w:rPr>
                <w:rFonts w:cs="宋体" w:hint="eastAsia"/>
                <w:sz w:val="24"/>
                <w:szCs w:val="24"/>
              </w:rPr>
              <w:t>LH</w:t>
            </w:r>
            <w:r w:rsidRPr="00EF20D9">
              <w:rPr>
                <w:rFonts w:cs="宋体" w:hint="eastAsia"/>
                <w:sz w:val="24"/>
                <w:szCs w:val="24"/>
              </w:rPr>
              <w:t>、</w:t>
            </w:r>
            <w:r w:rsidRPr="00EF20D9">
              <w:rPr>
                <w:rFonts w:cs="宋体" w:hint="eastAsia"/>
                <w:sz w:val="24"/>
                <w:szCs w:val="24"/>
              </w:rPr>
              <w:t>PRL</w:t>
            </w:r>
            <w:r w:rsidRPr="00EF20D9">
              <w:rPr>
                <w:rFonts w:cs="宋体" w:hint="eastAsia"/>
                <w:sz w:val="24"/>
                <w:szCs w:val="24"/>
              </w:rPr>
              <w:t>、</w:t>
            </w:r>
            <w:r w:rsidRPr="00EF20D9">
              <w:rPr>
                <w:rFonts w:cs="宋体" w:hint="eastAsia"/>
                <w:sz w:val="24"/>
                <w:szCs w:val="24"/>
              </w:rPr>
              <w:t>E2</w:t>
            </w:r>
            <w:r w:rsidRPr="00EF20D9">
              <w:rPr>
                <w:rFonts w:cs="宋体" w:hint="eastAsia"/>
                <w:sz w:val="24"/>
                <w:szCs w:val="24"/>
              </w:rPr>
              <w:t>、</w:t>
            </w:r>
            <w:proofErr w:type="spellStart"/>
            <w:r w:rsidRPr="00EF20D9">
              <w:rPr>
                <w:rFonts w:cs="宋体" w:hint="eastAsia"/>
                <w:sz w:val="24"/>
                <w:szCs w:val="24"/>
              </w:rPr>
              <w:t>Testo</w:t>
            </w:r>
            <w:proofErr w:type="spellEnd"/>
            <w:r w:rsidRPr="00EF20D9">
              <w:rPr>
                <w:rFonts w:cs="宋体" w:hint="eastAsia"/>
                <w:sz w:val="24"/>
                <w:szCs w:val="24"/>
              </w:rPr>
              <w:t>、</w:t>
            </w:r>
            <w:proofErr w:type="spellStart"/>
            <w:r w:rsidRPr="00EF20D9">
              <w:rPr>
                <w:rFonts w:cs="宋体" w:hint="eastAsia"/>
                <w:sz w:val="24"/>
                <w:szCs w:val="24"/>
              </w:rPr>
              <w:t>Prog</w:t>
            </w:r>
            <w:proofErr w:type="spellEnd"/>
            <w:r w:rsidRPr="00EF20D9">
              <w:rPr>
                <w:rFonts w:cs="宋体" w:hint="eastAsia"/>
                <w:sz w:val="24"/>
                <w:szCs w:val="24"/>
              </w:rPr>
              <w:t>、</w:t>
            </w:r>
            <w:r w:rsidRPr="00EF20D9">
              <w:rPr>
                <w:rFonts w:cs="宋体" w:hint="eastAsia"/>
                <w:sz w:val="24"/>
                <w:szCs w:val="24"/>
              </w:rPr>
              <w:t>GH</w:t>
            </w:r>
            <w:r w:rsidRPr="00EF20D9">
              <w:rPr>
                <w:rFonts w:cs="宋体" w:hint="eastAsia"/>
                <w:sz w:val="24"/>
                <w:szCs w:val="24"/>
              </w:rPr>
              <w:t>、</w:t>
            </w:r>
            <w:r w:rsidRPr="00EF20D9">
              <w:rPr>
                <w:rFonts w:cs="宋体" w:hint="eastAsia"/>
                <w:sz w:val="24"/>
                <w:szCs w:val="24"/>
              </w:rPr>
              <w:t>IGF-1</w:t>
            </w:r>
            <w:r w:rsidRPr="00EF20D9">
              <w:rPr>
                <w:rFonts w:cs="宋体" w:hint="eastAsia"/>
                <w:sz w:val="24"/>
                <w:szCs w:val="24"/>
              </w:rPr>
              <w:t>、总β</w:t>
            </w:r>
            <w:r w:rsidRPr="00EF20D9">
              <w:rPr>
                <w:rFonts w:cs="宋体" w:hint="eastAsia"/>
                <w:sz w:val="24"/>
                <w:szCs w:val="24"/>
              </w:rPr>
              <w:t>HCG</w:t>
            </w:r>
            <w:r w:rsidRPr="00EF20D9">
              <w:rPr>
                <w:rFonts w:cs="宋体" w:hint="eastAsia"/>
                <w:sz w:val="24"/>
                <w:szCs w:val="24"/>
              </w:rPr>
              <w:t>、</w:t>
            </w:r>
            <w:r w:rsidRPr="00EF20D9">
              <w:rPr>
                <w:rFonts w:cs="宋体" w:hint="eastAsia"/>
                <w:sz w:val="24"/>
                <w:szCs w:val="24"/>
              </w:rPr>
              <w:t>AMH</w:t>
            </w:r>
            <w:r w:rsidRPr="00EF20D9">
              <w:rPr>
                <w:rFonts w:cs="宋体" w:hint="eastAsia"/>
                <w:sz w:val="24"/>
                <w:szCs w:val="24"/>
              </w:rPr>
              <w:t>、</w:t>
            </w:r>
            <w:r w:rsidRPr="00EF20D9">
              <w:rPr>
                <w:rFonts w:cs="宋体" w:hint="eastAsia"/>
                <w:sz w:val="24"/>
                <w:szCs w:val="24"/>
              </w:rPr>
              <w:t>ACTH</w:t>
            </w:r>
            <w:r w:rsidRPr="00EF20D9">
              <w:rPr>
                <w:rFonts w:cs="宋体" w:hint="eastAsia"/>
                <w:sz w:val="24"/>
                <w:szCs w:val="24"/>
              </w:rPr>
              <w:t>。临床上可检测相关项目用于辅助诊断女性性早熟、男性性早熟、卵巢发育不全、不孕不育、高泌乳素血症、功血、矮小症、多囊性卵巢综合征、垂体性疾病等，并用于疗效监测。</w:t>
            </w:r>
          </w:p>
        </w:tc>
      </w:tr>
      <w:tr w:rsidR="00C908DB" w:rsidRPr="00EF20D9" w14:paraId="61BF75CD" w14:textId="77777777" w:rsidTr="0090575B">
        <w:trPr>
          <w:trHeight w:val="277"/>
          <w:jc w:val="center"/>
        </w:trPr>
        <w:tc>
          <w:tcPr>
            <w:tcW w:w="1129" w:type="dxa"/>
            <w:shd w:val="clear" w:color="auto" w:fill="auto"/>
            <w:vAlign w:val="center"/>
          </w:tcPr>
          <w:p w14:paraId="5B53B911"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w:t>
            </w:r>
            <w:r w:rsidRPr="00EF20D9">
              <w:rPr>
                <w:rFonts w:cs="宋体"/>
                <w:sz w:val="24"/>
                <w:szCs w:val="24"/>
              </w:rPr>
              <w:t>12</w:t>
            </w:r>
          </w:p>
        </w:tc>
        <w:tc>
          <w:tcPr>
            <w:tcW w:w="1418" w:type="dxa"/>
            <w:shd w:val="clear" w:color="auto" w:fill="auto"/>
            <w:vAlign w:val="center"/>
          </w:tcPr>
          <w:p w14:paraId="35EFA98D"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发光</w:t>
            </w:r>
            <w:r w:rsidRPr="00EF20D9">
              <w:rPr>
                <w:rFonts w:cs="宋体" w:hint="eastAsia"/>
                <w:sz w:val="24"/>
                <w:szCs w:val="24"/>
              </w:rPr>
              <w:t>-</w:t>
            </w:r>
            <w:r w:rsidRPr="00EF20D9">
              <w:rPr>
                <w:rFonts w:cs="宋体" w:hint="eastAsia"/>
                <w:sz w:val="24"/>
                <w:szCs w:val="24"/>
              </w:rPr>
              <w:t>心脏标志物检测</w:t>
            </w:r>
          </w:p>
        </w:tc>
        <w:tc>
          <w:tcPr>
            <w:tcW w:w="6401" w:type="dxa"/>
            <w:shd w:val="clear" w:color="auto" w:fill="auto"/>
          </w:tcPr>
          <w:p w14:paraId="46486109"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包括项目：</w:t>
            </w:r>
            <w:proofErr w:type="spellStart"/>
            <w:r w:rsidRPr="00EF20D9">
              <w:rPr>
                <w:rFonts w:cs="宋体" w:hint="eastAsia"/>
                <w:sz w:val="24"/>
                <w:szCs w:val="24"/>
              </w:rPr>
              <w:t>hs-cTnI</w:t>
            </w:r>
            <w:proofErr w:type="spellEnd"/>
            <w:r w:rsidRPr="00EF20D9">
              <w:rPr>
                <w:rFonts w:cs="宋体" w:hint="eastAsia"/>
                <w:sz w:val="24"/>
                <w:szCs w:val="24"/>
              </w:rPr>
              <w:t>/</w:t>
            </w:r>
            <w:proofErr w:type="spellStart"/>
            <w:r w:rsidRPr="00EF20D9">
              <w:rPr>
                <w:rFonts w:cs="宋体" w:hint="eastAsia"/>
                <w:sz w:val="24"/>
                <w:szCs w:val="24"/>
              </w:rPr>
              <w:t>cTn</w:t>
            </w:r>
            <w:proofErr w:type="spellEnd"/>
            <w:r w:rsidRPr="00EF20D9">
              <w:rPr>
                <w:rFonts w:cs="宋体" w:hint="eastAsia"/>
                <w:sz w:val="24"/>
                <w:szCs w:val="24"/>
              </w:rPr>
              <w:t>、</w:t>
            </w:r>
            <w:r w:rsidRPr="00EF20D9">
              <w:rPr>
                <w:rFonts w:cs="宋体" w:hint="eastAsia"/>
                <w:sz w:val="24"/>
                <w:szCs w:val="24"/>
              </w:rPr>
              <w:t>CK-MB</w:t>
            </w:r>
            <w:r w:rsidRPr="00EF20D9">
              <w:rPr>
                <w:rFonts w:cs="宋体" w:hint="eastAsia"/>
                <w:sz w:val="24"/>
                <w:szCs w:val="24"/>
              </w:rPr>
              <w:t>、</w:t>
            </w:r>
            <w:r w:rsidRPr="00EF20D9">
              <w:rPr>
                <w:rFonts w:cs="宋体" w:hint="eastAsia"/>
                <w:sz w:val="24"/>
                <w:szCs w:val="24"/>
              </w:rPr>
              <w:t>MYO</w:t>
            </w:r>
            <w:r w:rsidRPr="00EF20D9">
              <w:rPr>
                <w:rFonts w:cs="宋体" w:hint="eastAsia"/>
                <w:sz w:val="24"/>
                <w:szCs w:val="24"/>
              </w:rPr>
              <w:t>、</w:t>
            </w:r>
            <w:r w:rsidRPr="00EF20D9">
              <w:rPr>
                <w:rFonts w:cs="宋体" w:hint="eastAsia"/>
                <w:sz w:val="24"/>
                <w:szCs w:val="24"/>
              </w:rPr>
              <w:t>BNP/NT-pro-BNP</w:t>
            </w:r>
            <w:r w:rsidRPr="00EF20D9">
              <w:rPr>
                <w:rFonts w:cs="宋体" w:hint="eastAsia"/>
                <w:sz w:val="24"/>
                <w:szCs w:val="24"/>
              </w:rPr>
              <w:t>，这些指标主要用于心肌损伤如心肌梗死、心肌炎、心包炎等疾病的诊断、临床治疗监测等。</w:t>
            </w:r>
          </w:p>
        </w:tc>
      </w:tr>
      <w:tr w:rsidR="00C908DB" w:rsidRPr="00EF20D9" w14:paraId="1CFA099A" w14:textId="77777777" w:rsidTr="0090575B">
        <w:trPr>
          <w:trHeight w:val="277"/>
          <w:jc w:val="center"/>
        </w:trPr>
        <w:tc>
          <w:tcPr>
            <w:tcW w:w="1129" w:type="dxa"/>
            <w:shd w:val="clear" w:color="auto" w:fill="auto"/>
            <w:vAlign w:val="center"/>
          </w:tcPr>
          <w:p w14:paraId="09172A05"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w:t>
            </w:r>
            <w:r w:rsidRPr="00EF20D9">
              <w:rPr>
                <w:rFonts w:cs="宋体"/>
                <w:sz w:val="24"/>
                <w:szCs w:val="24"/>
              </w:rPr>
              <w:t>13</w:t>
            </w:r>
          </w:p>
        </w:tc>
        <w:tc>
          <w:tcPr>
            <w:tcW w:w="1418" w:type="dxa"/>
            <w:shd w:val="clear" w:color="auto" w:fill="auto"/>
            <w:vAlign w:val="center"/>
          </w:tcPr>
          <w:p w14:paraId="58B3AE8C"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发光</w:t>
            </w:r>
            <w:r w:rsidRPr="00EF20D9">
              <w:rPr>
                <w:rFonts w:cs="宋体" w:hint="eastAsia"/>
                <w:sz w:val="24"/>
                <w:szCs w:val="24"/>
              </w:rPr>
              <w:t>-</w:t>
            </w:r>
            <w:r w:rsidRPr="00EF20D9">
              <w:rPr>
                <w:rFonts w:cs="宋体" w:hint="eastAsia"/>
                <w:sz w:val="24"/>
                <w:szCs w:val="24"/>
              </w:rPr>
              <w:t>感染标志物检测</w:t>
            </w:r>
          </w:p>
        </w:tc>
        <w:tc>
          <w:tcPr>
            <w:tcW w:w="6401" w:type="dxa"/>
            <w:shd w:val="clear" w:color="auto" w:fill="auto"/>
          </w:tcPr>
          <w:p w14:paraId="003C1B90"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包括项目：</w:t>
            </w:r>
            <w:r w:rsidRPr="00EF20D9">
              <w:rPr>
                <w:rFonts w:cs="宋体" w:hint="eastAsia"/>
                <w:sz w:val="24"/>
                <w:szCs w:val="24"/>
              </w:rPr>
              <w:t>PCT</w:t>
            </w:r>
            <w:r w:rsidRPr="00EF20D9">
              <w:rPr>
                <w:rFonts w:cs="宋体" w:hint="eastAsia"/>
                <w:sz w:val="24"/>
                <w:szCs w:val="24"/>
              </w:rPr>
              <w:t>、</w:t>
            </w:r>
            <w:r w:rsidRPr="00EF20D9">
              <w:rPr>
                <w:rFonts w:cs="宋体" w:hint="eastAsia"/>
                <w:sz w:val="24"/>
                <w:szCs w:val="24"/>
              </w:rPr>
              <w:t>IL-6</w:t>
            </w:r>
            <w:r w:rsidRPr="00EF20D9">
              <w:rPr>
                <w:rFonts w:cs="宋体" w:hint="eastAsia"/>
                <w:sz w:val="24"/>
                <w:szCs w:val="24"/>
              </w:rPr>
              <w:t>。感染标志物检测对感染诊断、脓毒症预警、治疗方案指导、疗效及预后评估具有重要临床价值。</w:t>
            </w:r>
          </w:p>
        </w:tc>
      </w:tr>
      <w:tr w:rsidR="00C908DB" w:rsidRPr="00EF20D9" w14:paraId="3C2789AD" w14:textId="77777777" w:rsidTr="0090575B">
        <w:trPr>
          <w:trHeight w:val="277"/>
          <w:jc w:val="center"/>
        </w:trPr>
        <w:tc>
          <w:tcPr>
            <w:tcW w:w="1129" w:type="dxa"/>
            <w:shd w:val="clear" w:color="auto" w:fill="auto"/>
            <w:vAlign w:val="center"/>
          </w:tcPr>
          <w:p w14:paraId="3F4F2BD1"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w:t>
            </w:r>
            <w:r w:rsidRPr="00EF20D9">
              <w:rPr>
                <w:rFonts w:cs="宋体"/>
                <w:sz w:val="24"/>
                <w:szCs w:val="24"/>
              </w:rPr>
              <w:t>14</w:t>
            </w:r>
          </w:p>
        </w:tc>
        <w:tc>
          <w:tcPr>
            <w:tcW w:w="1418" w:type="dxa"/>
            <w:shd w:val="clear" w:color="auto" w:fill="auto"/>
            <w:vAlign w:val="center"/>
          </w:tcPr>
          <w:p w14:paraId="5B50D51B"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凝血</w:t>
            </w:r>
            <w:r w:rsidRPr="00EF20D9">
              <w:rPr>
                <w:rFonts w:cs="宋体" w:hint="eastAsia"/>
                <w:sz w:val="24"/>
                <w:szCs w:val="24"/>
              </w:rPr>
              <w:t>-</w:t>
            </w:r>
            <w:r w:rsidRPr="00EF20D9">
              <w:rPr>
                <w:rFonts w:cs="宋体" w:hint="eastAsia"/>
                <w:sz w:val="24"/>
                <w:szCs w:val="24"/>
              </w:rPr>
              <w:t>凝血七项检测</w:t>
            </w:r>
          </w:p>
        </w:tc>
        <w:tc>
          <w:tcPr>
            <w:tcW w:w="6401" w:type="dxa"/>
            <w:shd w:val="clear" w:color="auto" w:fill="auto"/>
          </w:tcPr>
          <w:p w14:paraId="470C4107"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包括项目：</w:t>
            </w:r>
            <w:r w:rsidRPr="00EF20D9">
              <w:rPr>
                <w:rFonts w:cs="宋体" w:hint="eastAsia"/>
                <w:iCs w:val="0"/>
                <w:sz w:val="24"/>
                <w:szCs w:val="24"/>
              </w:rPr>
              <w:t>PT</w:t>
            </w:r>
            <w:r w:rsidRPr="00EF20D9">
              <w:rPr>
                <w:rFonts w:cs="宋体" w:hint="eastAsia"/>
                <w:sz w:val="24"/>
                <w:szCs w:val="24"/>
              </w:rPr>
              <w:t>、</w:t>
            </w:r>
            <w:r w:rsidRPr="00EF20D9">
              <w:rPr>
                <w:rFonts w:cs="宋体" w:hint="eastAsia"/>
                <w:iCs w:val="0"/>
                <w:sz w:val="24"/>
                <w:szCs w:val="24"/>
              </w:rPr>
              <w:t>APTT</w:t>
            </w:r>
            <w:r w:rsidRPr="00EF20D9">
              <w:rPr>
                <w:rFonts w:cs="宋体" w:hint="eastAsia"/>
                <w:sz w:val="24"/>
                <w:szCs w:val="24"/>
              </w:rPr>
              <w:t>、</w:t>
            </w:r>
            <w:r w:rsidRPr="00EF20D9">
              <w:rPr>
                <w:rFonts w:cs="宋体" w:hint="eastAsia"/>
                <w:iCs w:val="0"/>
                <w:sz w:val="24"/>
                <w:szCs w:val="24"/>
              </w:rPr>
              <w:t>FIB</w:t>
            </w:r>
            <w:r w:rsidRPr="00EF20D9">
              <w:rPr>
                <w:rFonts w:cs="宋体" w:hint="eastAsia"/>
                <w:sz w:val="24"/>
                <w:szCs w:val="24"/>
              </w:rPr>
              <w:t>、</w:t>
            </w:r>
            <w:r w:rsidRPr="00EF20D9">
              <w:rPr>
                <w:rFonts w:cs="宋体" w:hint="eastAsia"/>
                <w:iCs w:val="0"/>
                <w:sz w:val="24"/>
                <w:szCs w:val="24"/>
              </w:rPr>
              <w:t>TT</w:t>
            </w:r>
            <w:r w:rsidRPr="00EF20D9">
              <w:rPr>
                <w:rFonts w:cs="宋体" w:hint="eastAsia"/>
                <w:sz w:val="24"/>
                <w:szCs w:val="24"/>
              </w:rPr>
              <w:t>、</w:t>
            </w:r>
            <w:r w:rsidRPr="00EF20D9">
              <w:rPr>
                <w:rFonts w:cs="宋体" w:hint="eastAsia"/>
                <w:iCs w:val="0"/>
                <w:sz w:val="24"/>
                <w:szCs w:val="24"/>
              </w:rPr>
              <w:t>D-</w:t>
            </w:r>
            <w:r w:rsidRPr="00EF20D9">
              <w:rPr>
                <w:rFonts w:cs="宋体" w:hint="eastAsia"/>
                <w:iCs w:val="0"/>
                <w:sz w:val="24"/>
                <w:szCs w:val="24"/>
              </w:rPr>
              <w:t>二聚体</w:t>
            </w:r>
            <w:r w:rsidRPr="00EF20D9">
              <w:rPr>
                <w:rFonts w:cs="宋体" w:hint="eastAsia"/>
                <w:sz w:val="24"/>
                <w:szCs w:val="24"/>
              </w:rPr>
              <w:t>、</w:t>
            </w:r>
            <w:r w:rsidRPr="00EF20D9">
              <w:rPr>
                <w:rFonts w:cs="宋体" w:hint="eastAsia"/>
                <w:iCs w:val="0"/>
                <w:sz w:val="24"/>
                <w:szCs w:val="24"/>
              </w:rPr>
              <w:t>FDP</w:t>
            </w:r>
            <w:r w:rsidRPr="00EF20D9">
              <w:rPr>
                <w:rFonts w:cs="宋体" w:hint="eastAsia"/>
                <w:sz w:val="24"/>
                <w:szCs w:val="24"/>
              </w:rPr>
              <w:t>、</w:t>
            </w:r>
            <w:r w:rsidRPr="00EF20D9">
              <w:rPr>
                <w:rFonts w:cs="宋体" w:hint="eastAsia"/>
                <w:iCs w:val="0"/>
                <w:sz w:val="24"/>
                <w:szCs w:val="24"/>
              </w:rPr>
              <w:t>AT</w:t>
            </w:r>
            <w:r w:rsidRPr="00EF20D9">
              <w:rPr>
                <w:rFonts w:cs="宋体" w:hint="eastAsia"/>
                <w:iCs w:val="0"/>
                <w:sz w:val="24"/>
                <w:szCs w:val="24"/>
              </w:rPr>
              <w:t>Ⅲ。可用于凝血障碍性疾病的初步诊断、抗凝药物的监测以及术前常规凝血功能的评估等。</w:t>
            </w:r>
          </w:p>
        </w:tc>
      </w:tr>
      <w:tr w:rsidR="00C908DB" w:rsidRPr="00EF20D9" w14:paraId="1C79AAB4" w14:textId="77777777" w:rsidTr="0090575B">
        <w:trPr>
          <w:trHeight w:val="277"/>
          <w:jc w:val="center"/>
        </w:trPr>
        <w:tc>
          <w:tcPr>
            <w:tcW w:w="1129" w:type="dxa"/>
            <w:shd w:val="clear" w:color="auto" w:fill="auto"/>
            <w:vAlign w:val="center"/>
          </w:tcPr>
          <w:p w14:paraId="53D98D69"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w:t>
            </w:r>
            <w:r w:rsidRPr="00EF20D9">
              <w:rPr>
                <w:rFonts w:cs="宋体"/>
                <w:sz w:val="24"/>
                <w:szCs w:val="24"/>
              </w:rPr>
              <w:t>15</w:t>
            </w:r>
          </w:p>
        </w:tc>
        <w:tc>
          <w:tcPr>
            <w:tcW w:w="1418" w:type="dxa"/>
            <w:shd w:val="clear" w:color="auto" w:fill="auto"/>
            <w:vAlign w:val="center"/>
          </w:tcPr>
          <w:p w14:paraId="5C12CDA2"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生化</w:t>
            </w:r>
            <w:r w:rsidRPr="00EF20D9">
              <w:rPr>
                <w:rFonts w:cs="宋体"/>
                <w:sz w:val="24"/>
                <w:szCs w:val="24"/>
              </w:rPr>
              <w:t>-</w:t>
            </w:r>
            <w:r w:rsidRPr="00EF20D9">
              <w:rPr>
                <w:rFonts w:cs="宋体" w:hint="eastAsia"/>
                <w:sz w:val="24"/>
                <w:szCs w:val="24"/>
              </w:rPr>
              <w:t>血脂检测</w:t>
            </w:r>
          </w:p>
        </w:tc>
        <w:tc>
          <w:tcPr>
            <w:tcW w:w="6401" w:type="dxa"/>
            <w:shd w:val="clear" w:color="auto" w:fill="auto"/>
          </w:tcPr>
          <w:p w14:paraId="5867AD8C" w14:textId="77777777" w:rsidR="00C908DB" w:rsidRPr="00EF20D9" w:rsidRDefault="00C908DB" w:rsidP="0090575B">
            <w:pPr>
              <w:tabs>
                <w:tab w:val="left" w:pos="1283"/>
              </w:tabs>
              <w:ind w:firstLineChars="0" w:firstLine="0"/>
              <w:jc w:val="left"/>
            </w:pPr>
            <w:r w:rsidRPr="003272C1">
              <w:rPr>
                <w:rFonts w:cs="宋体" w:hint="eastAsia"/>
                <w:sz w:val="24"/>
                <w:szCs w:val="24"/>
              </w:rPr>
              <w:t>包括项目：</w:t>
            </w:r>
            <w:r w:rsidRPr="003272C1">
              <w:rPr>
                <w:rFonts w:cs="宋体" w:hint="eastAsia"/>
                <w:sz w:val="24"/>
                <w:szCs w:val="24"/>
              </w:rPr>
              <w:t>TC</w:t>
            </w:r>
            <w:r w:rsidRPr="003272C1">
              <w:rPr>
                <w:rFonts w:cs="宋体" w:hint="eastAsia"/>
                <w:sz w:val="24"/>
                <w:szCs w:val="24"/>
              </w:rPr>
              <w:t>、</w:t>
            </w:r>
            <w:r w:rsidRPr="003272C1">
              <w:rPr>
                <w:rFonts w:cs="宋体" w:hint="eastAsia"/>
                <w:sz w:val="24"/>
                <w:szCs w:val="24"/>
              </w:rPr>
              <w:t>TG</w:t>
            </w:r>
            <w:r w:rsidRPr="003272C1">
              <w:rPr>
                <w:rFonts w:cs="宋体" w:hint="eastAsia"/>
                <w:sz w:val="24"/>
                <w:szCs w:val="24"/>
              </w:rPr>
              <w:t>、</w:t>
            </w:r>
            <w:r w:rsidRPr="003272C1">
              <w:rPr>
                <w:rFonts w:cs="宋体" w:hint="eastAsia"/>
                <w:sz w:val="24"/>
                <w:szCs w:val="24"/>
              </w:rPr>
              <w:t>HDL-C</w:t>
            </w:r>
            <w:r w:rsidRPr="003272C1">
              <w:rPr>
                <w:rFonts w:cs="宋体" w:hint="eastAsia"/>
                <w:sz w:val="24"/>
                <w:szCs w:val="24"/>
              </w:rPr>
              <w:t>、</w:t>
            </w:r>
            <w:r w:rsidRPr="003272C1">
              <w:rPr>
                <w:rFonts w:cs="宋体" w:hint="eastAsia"/>
                <w:sz w:val="24"/>
                <w:szCs w:val="24"/>
              </w:rPr>
              <w:t>LDL-C</w:t>
            </w:r>
            <w:r w:rsidRPr="003272C1">
              <w:rPr>
                <w:rFonts w:cs="宋体" w:hint="eastAsia"/>
                <w:sz w:val="24"/>
                <w:szCs w:val="24"/>
              </w:rPr>
              <w:t>、</w:t>
            </w:r>
            <w:r w:rsidRPr="003272C1">
              <w:rPr>
                <w:rFonts w:cs="宋体" w:hint="eastAsia"/>
                <w:sz w:val="24"/>
                <w:szCs w:val="24"/>
              </w:rPr>
              <w:t>ApoA1</w:t>
            </w:r>
            <w:r w:rsidRPr="003272C1">
              <w:rPr>
                <w:rFonts w:cs="宋体" w:hint="eastAsia"/>
                <w:sz w:val="24"/>
                <w:szCs w:val="24"/>
              </w:rPr>
              <w:t>、</w:t>
            </w:r>
            <w:proofErr w:type="spellStart"/>
            <w:r w:rsidRPr="003272C1">
              <w:rPr>
                <w:rFonts w:cs="宋体" w:hint="eastAsia"/>
                <w:sz w:val="24"/>
                <w:szCs w:val="24"/>
              </w:rPr>
              <w:t>ApoB</w:t>
            </w:r>
            <w:proofErr w:type="spellEnd"/>
            <w:r w:rsidRPr="003272C1">
              <w:rPr>
                <w:rFonts w:cs="宋体" w:hint="eastAsia"/>
                <w:sz w:val="24"/>
                <w:szCs w:val="24"/>
              </w:rPr>
              <w:t>、</w:t>
            </w:r>
            <w:proofErr w:type="spellStart"/>
            <w:r w:rsidRPr="003272C1">
              <w:rPr>
                <w:rFonts w:cs="宋体" w:hint="eastAsia"/>
                <w:sz w:val="24"/>
                <w:szCs w:val="24"/>
              </w:rPr>
              <w:t>Lp</w:t>
            </w:r>
            <w:proofErr w:type="spellEnd"/>
            <w:r w:rsidRPr="003272C1">
              <w:rPr>
                <w:rFonts w:cs="宋体" w:hint="eastAsia"/>
                <w:sz w:val="24"/>
                <w:szCs w:val="24"/>
              </w:rPr>
              <w:t>(a)</w:t>
            </w:r>
            <w:r w:rsidRPr="003272C1">
              <w:rPr>
                <w:rFonts w:cs="宋体" w:hint="eastAsia"/>
                <w:sz w:val="24"/>
                <w:szCs w:val="24"/>
              </w:rPr>
              <w:t>Ⅱ、</w:t>
            </w:r>
            <w:proofErr w:type="spellStart"/>
            <w:r w:rsidRPr="003272C1">
              <w:rPr>
                <w:rFonts w:cs="宋体" w:hint="eastAsia"/>
                <w:sz w:val="24"/>
                <w:szCs w:val="24"/>
              </w:rPr>
              <w:t>sd</w:t>
            </w:r>
            <w:proofErr w:type="spellEnd"/>
            <w:r w:rsidRPr="003272C1">
              <w:rPr>
                <w:rFonts w:cs="宋体" w:hint="eastAsia"/>
                <w:sz w:val="24"/>
                <w:szCs w:val="24"/>
              </w:rPr>
              <w:t xml:space="preserve"> LDL-C</w:t>
            </w:r>
            <w:r w:rsidRPr="003272C1">
              <w:rPr>
                <w:rFonts w:cs="宋体" w:hint="eastAsia"/>
                <w:sz w:val="24"/>
                <w:szCs w:val="24"/>
              </w:rPr>
              <w:t>、</w:t>
            </w:r>
            <w:r w:rsidRPr="003272C1">
              <w:rPr>
                <w:rFonts w:cs="宋体" w:hint="eastAsia"/>
                <w:sz w:val="24"/>
                <w:szCs w:val="24"/>
              </w:rPr>
              <w:t>HCY</w:t>
            </w:r>
            <w:r w:rsidRPr="003272C1">
              <w:rPr>
                <w:rFonts w:cs="宋体" w:hint="eastAsia"/>
                <w:sz w:val="24"/>
                <w:szCs w:val="24"/>
              </w:rPr>
              <w:t>，通过检测血浆中的血脂指标，有助于动脉硬化、高血脂、冠心病及肾病综合征等疾病的风险评估和诊断。</w:t>
            </w:r>
          </w:p>
        </w:tc>
      </w:tr>
      <w:tr w:rsidR="00C908DB" w:rsidRPr="00EF20D9" w14:paraId="234C9314" w14:textId="77777777" w:rsidTr="0090575B">
        <w:trPr>
          <w:trHeight w:val="277"/>
          <w:jc w:val="center"/>
        </w:trPr>
        <w:tc>
          <w:tcPr>
            <w:tcW w:w="1129" w:type="dxa"/>
            <w:shd w:val="clear" w:color="auto" w:fill="auto"/>
            <w:vAlign w:val="center"/>
          </w:tcPr>
          <w:p w14:paraId="029682E0"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w:t>
            </w:r>
            <w:r w:rsidRPr="00EF20D9">
              <w:rPr>
                <w:rFonts w:cs="宋体"/>
                <w:sz w:val="24"/>
                <w:szCs w:val="24"/>
              </w:rPr>
              <w:t>16</w:t>
            </w:r>
          </w:p>
        </w:tc>
        <w:tc>
          <w:tcPr>
            <w:tcW w:w="1418" w:type="dxa"/>
            <w:shd w:val="clear" w:color="auto" w:fill="auto"/>
            <w:vAlign w:val="center"/>
          </w:tcPr>
          <w:p w14:paraId="632789CA"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生化</w:t>
            </w:r>
            <w:r w:rsidRPr="00EF20D9">
              <w:rPr>
                <w:rFonts w:cs="宋体" w:hint="eastAsia"/>
                <w:sz w:val="24"/>
                <w:szCs w:val="24"/>
              </w:rPr>
              <w:t>-</w:t>
            </w:r>
            <w:r w:rsidRPr="00EF20D9">
              <w:rPr>
                <w:rFonts w:cs="宋体" w:hint="eastAsia"/>
                <w:sz w:val="24"/>
                <w:szCs w:val="24"/>
              </w:rPr>
              <w:t>肾功能检测</w:t>
            </w:r>
          </w:p>
        </w:tc>
        <w:tc>
          <w:tcPr>
            <w:tcW w:w="6401" w:type="dxa"/>
            <w:shd w:val="clear" w:color="auto" w:fill="auto"/>
          </w:tcPr>
          <w:p w14:paraId="7EDDEFFC"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包括项目：</w:t>
            </w:r>
            <w:r w:rsidRPr="00EF20D9">
              <w:rPr>
                <w:rFonts w:cs="宋体" w:hint="eastAsia"/>
                <w:sz w:val="24"/>
                <w:szCs w:val="24"/>
              </w:rPr>
              <w:t>UA</w:t>
            </w:r>
            <w:r w:rsidRPr="00EF20D9">
              <w:rPr>
                <w:rFonts w:cs="宋体" w:hint="eastAsia"/>
                <w:sz w:val="24"/>
                <w:szCs w:val="24"/>
              </w:rPr>
              <w:t>、</w:t>
            </w:r>
            <w:r w:rsidRPr="00EF20D9">
              <w:rPr>
                <w:rFonts w:cs="宋体" w:hint="eastAsia"/>
                <w:sz w:val="24"/>
                <w:szCs w:val="24"/>
              </w:rPr>
              <w:t>UREA</w:t>
            </w:r>
            <w:r w:rsidRPr="00EF20D9">
              <w:rPr>
                <w:rFonts w:cs="宋体" w:hint="eastAsia"/>
                <w:sz w:val="24"/>
                <w:szCs w:val="24"/>
              </w:rPr>
              <w:t>、</w:t>
            </w:r>
            <w:r w:rsidRPr="00EF20D9">
              <w:rPr>
                <w:rFonts w:cs="宋体" w:hint="eastAsia"/>
                <w:sz w:val="24"/>
                <w:szCs w:val="24"/>
              </w:rPr>
              <w:t>CO2</w:t>
            </w:r>
            <w:r w:rsidRPr="00EF20D9">
              <w:rPr>
                <w:rFonts w:cs="宋体" w:hint="eastAsia"/>
                <w:sz w:val="24"/>
                <w:szCs w:val="24"/>
              </w:rPr>
              <w:t>、</w:t>
            </w:r>
            <w:proofErr w:type="spellStart"/>
            <w:r w:rsidRPr="00EF20D9">
              <w:rPr>
                <w:rFonts w:cs="宋体" w:hint="eastAsia"/>
                <w:sz w:val="24"/>
                <w:szCs w:val="24"/>
              </w:rPr>
              <w:t>CysCII</w:t>
            </w:r>
            <w:proofErr w:type="spellEnd"/>
            <w:r w:rsidRPr="00EF20D9">
              <w:rPr>
                <w:rFonts w:cs="宋体" w:hint="eastAsia"/>
                <w:sz w:val="24"/>
                <w:szCs w:val="24"/>
              </w:rPr>
              <w:t>、β</w:t>
            </w:r>
            <w:r w:rsidRPr="00EF20D9">
              <w:rPr>
                <w:rFonts w:cs="宋体" w:hint="eastAsia"/>
                <w:sz w:val="24"/>
                <w:szCs w:val="24"/>
              </w:rPr>
              <w:t>2-mG II</w:t>
            </w:r>
            <w:r w:rsidRPr="00EF20D9">
              <w:rPr>
                <w:rFonts w:cs="宋体" w:hint="eastAsia"/>
                <w:sz w:val="24"/>
                <w:szCs w:val="24"/>
              </w:rPr>
              <w:t>、</w:t>
            </w:r>
            <w:r w:rsidRPr="00EF20D9">
              <w:rPr>
                <w:rFonts w:cs="宋体" w:hint="eastAsia"/>
                <w:sz w:val="24"/>
                <w:szCs w:val="24"/>
              </w:rPr>
              <w:t>MALB</w:t>
            </w:r>
            <w:r w:rsidRPr="00EF20D9">
              <w:rPr>
                <w:rFonts w:cs="宋体" w:hint="eastAsia"/>
                <w:sz w:val="24"/>
                <w:szCs w:val="24"/>
              </w:rPr>
              <w:t>、</w:t>
            </w:r>
            <w:r w:rsidRPr="00EF20D9">
              <w:rPr>
                <w:rFonts w:cs="宋体" w:hint="eastAsia"/>
                <w:sz w:val="24"/>
                <w:szCs w:val="24"/>
              </w:rPr>
              <w:t>RBP</w:t>
            </w:r>
            <w:r w:rsidRPr="00EF20D9">
              <w:rPr>
                <w:rFonts w:cs="宋体" w:hint="eastAsia"/>
                <w:sz w:val="24"/>
                <w:szCs w:val="24"/>
              </w:rPr>
              <w:t>等指标，临床上主要用于急慢性肾损伤疾病的诊断、治疗监测、预后判断。</w:t>
            </w:r>
          </w:p>
        </w:tc>
      </w:tr>
      <w:tr w:rsidR="00C908DB" w:rsidRPr="00EF20D9" w14:paraId="3C5208C6" w14:textId="77777777" w:rsidTr="0090575B">
        <w:trPr>
          <w:trHeight w:val="277"/>
          <w:jc w:val="center"/>
        </w:trPr>
        <w:tc>
          <w:tcPr>
            <w:tcW w:w="1129" w:type="dxa"/>
            <w:shd w:val="clear" w:color="auto" w:fill="auto"/>
            <w:vAlign w:val="center"/>
          </w:tcPr>
          <w:p w14:paraId="4BB33BE9"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t>C</w:t>
            </w:r>
            <w:r w:rsidRPr="00EF20D9">
              <w:rPr>
                <w:rFonts w:cs="宋体"/>
                <w:sz w:val="24"/>
                <w:szCs w:val="24"/>
              </w:rPr>
              <w:t>17</w:t>
            </w:r>
          </w:p>
        </w:tc>
        <w:tc>
          <w:tcPr>
            <w:tcW w:w="1418" w:type="dxa"/>
            <w:shd w:val="clear" w:color="auto" w:fill="auto"/>
            <w:vAlign w:val="center"/>
          </w:tcPr>
          <w:p w14:paraId="360E24B9"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PDR</w:t>
            </w:r>
            <w:r w:rsidRPr="00EF20D9">
              <w:rPr>
                <w:rFonts w:cs="宋体" w:hint="eastAsia"/>
                <w:sz w:val="24"/>
                <w:szCs w:val="24"/>
              </w:rPr>
              <w:t>技术</w:t>
            </w:r>
          </w:p>
        </w:tc>
        <w:tc>
          <w:tcPr>
            <w:tcW w:w="6401" w:type="dxa"/>
            <w:shd w:val="clear" w:color="auto" w:fill="auto"/>
          </w:tcPr>
          <w:p w14:paraId="57A3A732" w14:textId="3B31839B" w:rsidR="00C908DB" w:rsidRPr="00EF20D9" w:rsidRDefault="00C908DB" w:rsidP="003272C1">
            <w:pPr>
              <w:spacing w:before="0" w:after="0" w:line="360" w:lineRule="auto"/>
              <w:ind w:firstLineChars="0" w:firstLine="0"/>
              <w:jc w:val="left"/>
              <w:rPr>
                <w:rFonts w:cs="宋体"/>
                <w:sz w:val="24"/>
                <w:szCs w:val="24"/>
              </w:rPr>
            </w:pPr>
            <w:r w:rsidRPr="00EF20D9">
              <w:rPr>
                <w:rFonts w:cs="宋体" w:hint="eastAsia"/>
                <w:sz w:val="24"/>
                <w:szCs w:val="24"/>
              </w:rPr>
              <w:t>迈瑞创新的新一代生化平台光测技术，通过反应杯全区域、全波长、全时段、实时动态光测采集，一个周期形成上万个光测数据，整个反应周期内可以生成</w:t>
            </w:r>
            <w:r w:rsidRPr="00EF20D9">
              <w:rPr>
                <w:rFonts w:cs="宋体" w:hint="eastAsia"/>
                <w:sz w:val="24"/>
                <w:szCs w:val="24"/>
              </w:rPr>
              <w:t>42</w:t>
            </w:r>
            <w:r w:rsidRPr="00EF20D9">
              <w:rPr>
                <w:rFonts w:cs="宋体" w:hint="eastAsia"/>
                <w:sz w:val="24"/>
                <w:szCs w:val="24"/>
              </w:rPr>
              <w:t>万个光测数据，通过对</w:t>
            </w:r>
            <w:r w:rsidR="003272C1">
              <w:rPr>
                <w:rFonts w:cs="宋体" w:hint="eastAsia"/>
                <w:sz w:val="24"/>
                <w:szCs w:val="24"/>
              </w:rPr>
              <w:t>大数据</w:t>
            </w:r>
            <w:r w:rsidRPr="00EF20D9">
              <w:rPr>
                <w:rFonts w:cs="宋体" w:hint="eastAsia"/>
                <w:sz w:val="24"/>
                <w:szCs w:val="24"/>
              </w:rPr>
              <w:t>整合分析，可以敏锐探测到反应过程中</w:t>
            </w:r>
            <w:r w:rsidRPr="00EF20D9">
              <w:rPr>
                <w:rFonts w:cs="宋体" w:hint="eastAsia"/>
                <w:sz w:val="24"/>
                <w:szCs w:val="24"/>
              </w:rPr>
              <w:lastRenderedPageBreak/>
              <w:t>的各类细微干扰和异常，及时识别报警和自动重测，从而避免错误报告发出。</w:t>
            </w:r>
          </w:p>
        </w:tc>
      </w:tr>
      <w:tr w:rsidR="00C908DB" w:rsidRPr="00EF20D9" w14:paraId="557EF0ED" w14:textId="77777777" w:rsidTr="0090575B">
        <w:trPr>
          <w:trHeight w:val="277"/>
          <w:jc w:val="center"/>
        </w:trPr>
        <w:tc>
          <w:tcPr>
            <w:tcW w:w="1129" w:type="dxa"/>
            <w:shd w:val="clear" w:color="auto" w:fill="auto"/>
            <w:vAlign w:val="center"/>
          </w:tcPr>
          <w:p w14:paraId="32276514"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hint="eastAsia"/>
                <w:sz w:val="24"/>
                <w:szCs w:val="24"/>
              </w:rPr>
              <w:lastRenderedPageBreak/>
              <w:t>C</w:t>
            </w:r>
            <w:r w:rsidRPr="00EF20D9">
              <w:rPr>
                <w:rFonts w:cs="宋体"/>
                <w:sz w:val="24"/>
                <w:szCs w:val="24"/>
              </w:rPr>
              <w:t>18</w:t>
            </w:r>
          </w:p>
        </w:tc>
        <w:tc>
          <w:tcPr>
            <w:tcW w:w="1418" w:type="dxa"/>
            <w:shd w:val="clear" w:color="auto" w:fill="auto"/>
            <w:vAlign w:val="center"/>
          </w:tcPr>
          <w:p w14:paraId="2C5D7F3E"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血液检测－血小板解聚功能</w:t>
            </w:r>
          </w:p>
        </w:tc>
        <w:tc>
          <w:tcPr>
            <w:tcW w:w="6401" w:type="dxa"/>
            <w:shd w:val="clear" w:color="auto" w:fill="auto"/>
          </w:tcPr>
          <w:p w14:paraId="19E7323C" w14:textId="2D61564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迈瑞自</w:t>
            </w:r>
            <w:proofErr w:type="gramStart"/>
            <w:r w:rsidRPr="00EF20D9">
              <w:rPr>
                <w:rFonts w:cs="宋体" w:hint="eastAsia"/>
                <w:sz w:val="24"/>
                <w:szCs w:val="24"/>
              </w:rPr>
              <w:t>研</w:t>
            </w:r>
            <w:proofErr w:type="gramEnd"/>
            <w:r w:rsidR="003272C1">
              <w:rPr>
                <w:rFonts w:cs="宋体" w:hint="eastAsia"/>
                <w:sz w:val="24"/>
                <w:szCs w:val="24"/>
              </w:rPr>
              <w:t>效期长、解聚能力</w:t>
            </w:r>
            <w:r w:rsidRPr="00EF20D9">
              <w:rPr>
                <w:rFonts w:cs="宋体" w:hint="eastAsia"/>
                <w:sz w:val="24"/>
                <w:szCs w:val="24"/>
              </w:rPr>
              <w:t>高的解聚剂，应用到迈瑞高端血气分析仪的</w:t>
            </w:r>
            <w:r w:rsidRPr="00EF20D9">
              <w:rPr>
                <w:rFonts w:cs="宋体" w:hint="eastAsia"/>
                <w:sz w:val="24"/>
                <w:szCs w:val="24"/>
              </w:rPr>
              <w:t>RET</w:t>
            </w:r>
            <w:r w:rsidRPr="00EF20D9">
              <w:rPr>
                <w:rFonts w:cs="宋体" w:hint="eastAsia"/>
                <w:sz w:val="24"/>
                <w:szCs w:val="24"/>
              </w:rPr>
              <w:t>通道，当触发血小板结果报警时可自动调用</w:t>
            </w:r>
            <w:r w:rsidRPr="00EF20D9">
              <w:rPr>
                <w:rFonts w:cs="宋体" w:hint="eastAsia"/>
                <w:sz w:val="24"/>
                <w:szCs w:val="24"/>
              </w:rPr>
              <w:t xml:space="preserve"> PLT-O</w:t>
            </w:r>
            <w:r w:rsidRPr="00EF20D9">
              <w:rPr>
                <w:rFonts w:cs="宋体" w:hint="eastAsia"/>
                <w:sz w:val="24"/>
                <w:szCs w:val="24"/>
              </w:rPr>
              <w:t>复检，解聚剂自动加入血液当中对聚集血小板进行解聚；同时</w:t>
            </w:r>
            <w:r w:rsidRPr="00EF20D9">
              <w:rPr>
                <w:rFonts w:cs="宋体" w:hint="eastAsia"/>
                <w:sz w:val="24"/>
                <w:szCs w:val="24"/>
              </w:rPr>
              <w:t>RET</w:t>
            </w:r>
            <w:r w:rsidRPr="00EF20D9">
              <w:rPr>
                <w:rFonts w:cs="宋体" w:hint="eastAsia"/>
                <w:sz w:val="24"/>
                <w:szCs w:val="24"/>
              </w:rPr>
              <w:t>通道还联用了</w:t>
            </w:r>
            <w:r w:rsidRPr="00EF20D9">
              <w:rPr>
                <w:rFonts w:cs="宋体" w:hint="eastAsia"/>
                <w:sz w:val="24"/>
                <w:szCs w:val="24"/>
              </w:rPr>
              <w:t xml:space="preserve"> </w:t>
            </w:r>
            <w:r w:rsidRPr="00EF20D9">
              <w:rPr>
                <w:rFonts w:cs="宋体" w:hint="eastAsia"/>
                <w:sz w:val="24"/>
                <w:szCs w:val="24"/>
              </w:rPr>
              <w:t>“加温”“高速震荡”等物理解聚技术，提升血小板计数的准确性。</w:t>
            </w:r>
          </w:p>
        </w:tc>
      </w:tr>
      <w:tr w:rsidR="00C908DB" w:rsidRPr="00EF20D9" w14:paraId="0E71B57E" w14:textId="77777777" w:rsidTr="0090575B">
        <w:trPr>
          <w:trHeight w:val="277"/>
          <w:jc w:val="center"/>
        </w:trPr>
        <w:tc>
          <w:tcPr>
            <w:tcW w:w="1129" w:type="dxa"/>
            <w:shd w:val="clear" w:color="auto" w:fill="auto"/>
            <w:vAlign w:val="center"/>
          </w:tcPr>
          <w:p w14:paraId="01ED98BB" w14:textId="77777777" w:rsidR="00C908DB" w:rsidRPr="00EF20D9" w:rsidRDefault="00C908DB" w:rsidP="0090575B">
            <w:pPr>
              <w:spacing w:before="0" w:after="0" w:line="360" w:lineRule="auto"/>
              <w:ind w:firstLineChars="0" w:firstLine="0"/>
              <w:jc w:val="center"/>
              <w:rPr>
                <w:rFonts w:cs="宋体"/>
                <w:sz w:val="24"/>
                <w:szCs w:val="24"/>
              </w:rPr>
            </w:pPr>
            <w:r w:rsidRPr="00EF20D9">
              <w:rPr>
                <w:rFonts w:cs="宋体"/>
                <w:sz w:val="24"/>
                <w:szCs w:val="24"/>
              </w:rPr>
              <w:t>C19</w:t>
            </w:r>
          </w:p>
        </w:tc>
        <w:tc>
          <w:tcPr>
            <w:tcW w:w="1418" w:type="dxa"/>
            <w:shd w:val="clear" w:color="auto" w:fill="auto"/>
            <w:vAlign w:val="center"/>
          </w:tcPr>
          <w:p w14:paraId="1308EF3D"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血液检测—原始细胞检测</w:t>
            </w:r>
          </w:p>
        </w:tc>
        <w:tc>
          <w:tcPr>
            <w:tcW w:w="6401" w:type="dxa"/>
            <w:shd w:val="clear" w:color="auto" w:fill="auto"/>
          </w:tcPr>
          <w:p w14:paraId="58CEBE91" w14:textId="77777777" w:rsidR="00C908DB" w:rsidRPr="00EF20D9" w:rsidRDefault="00C908DB" w:rsidP="0090575B">
            <w:pPr>
              <w:spacing w:before="0" w:after="0" w:line="360" w:lineRule="auto"/>
              <w:ind w:firstLineChars="0" w:firstLine="0"/>
              <w:jc w:val="left"/>
              <w:rPr>
                <w:rFonts w:cs="宋体"/>
                <w:sz w:val="24"/>
                <w:szCs w:val="24"/>
              </w:rPr>
            </w:pPr>
            <w:r w:rsidRPr="00EF20D9">
              <w:rPr>
                <w:rFonts w:cs="宋体" w:hint="eastAsia"/>
                <w:sz w:val="24"/>
                <w:szCs w:val="24"/>
              </w:rPr>
              <w:t xml:space="preserve"> </w:t>
            </w:r>
            <w:r w:rsidRPr="00EF20D9">
              <w:rPr>
                <w:rFonts w:cs="宋体" w:hint="eastAsia"/>
                <w:sz w:val="24"/>
                <w:szCs w:val="24"/>
              </w:rPr>
              <w:t>迈瑞血液细胞分析仪</w:t>
            </w:r>
            <w:r w:rsidRPr="00EF20D9">
              <w:rPr>
                <w:rFonts w:cs="宋体" w:hint="eastAsia"/>
                <w:sz w:val="24"/>
                <w:szCs w:val="24"/>
              </w:rPr>
              <w:t>SF Cube</w:t>
            </w:r>
            <w:r w:rsidRPr="00EF20D9">
              <w:rPr>
                <w:rFonts w:cs="宋体" w:hint="eastAsia"/>
                <w:sz w:val="24"/>
                <w:szCs w:val="24"/>
              </w:rPr>
              <w:t>技术平台是全球首创的三维荧光细胞分析平台，即利用侧向散射光、前向散射光及荧光分别实现对细胞内部复杂程度、细胞体积大小以及细胞核酸含量的检测，实现血细胞全方位的立体分析，针对原始细胞的特点，通过</w:t>
            </w:r>
            <w:r w:rsidRPr="00EF20D9">
              <w:rPr>
                <w:rFonts w:cs="宋体" w:hint="eastAsia"/>
                <w:sz w:val="24"/>
                <w:szCs w:val="24"/>
              </w:rPr>
              <w:t>DIFF+WNB</w:t>
            </w:r>
            <w:r w:rsidRPr="00EF20D9">
              <w:rPr>
                <w:rFonts w:cs="宋体" w:hint="eastAsia"/>
                <w:sz w:val="24"/>
                <w:szCs w:val="24"/>
              </w:rPr>
              <w:t>双通道协同的“核质双检”技术，差异化处理“细胞核”和</w:t>
            </w:r>
            <w:r w:rsidRPr="00EF20D9">
              <w:rPr>
                <w:rFonts w:cs="宋体" w:hint="eastAsia"/>
                <w:sz w:val="24"/>
                <w:szCs w:val="24"/>
              </w:rPr>
              <w:t xml:space="preserve"> </w:t>
            </w:r>
            <w:r w:rsidRPr="00EF20D9">
              <w:rPr>
                <w:rFonts w:cs="宋体" w:hint="eastAsia"/>
                <w:sz w:val="24"/>
                <w:szCs w:val="24"/>
              </w:rPr>
              <w:t>“细胞质”，实现原始细胞高灵敏度及高特异性检出。</w:t>
            </w:r>
          </w:p>
        </w:tc>
      </w:tr>
    </w:tbl>
    <w:p w14:paraId="54BAD00E" w14:textId="77777777" w:rsidR="00B8686C" w:rsidRPr="00C779F4" w:rsidRDefault="00B8686C" w:rsidP="00181C2B">
      <w:pPr>
        <w:spacing w:before="0" w:after="0" w:line="420" w:lineRule="exact"/>
        <w:ind w:left="480" w:firstLineChars="0" w:firstLine="0"/>
        <w:rPr>
          <w:rFonts w:ascii="宋体" w:hAnsi="宋体"/>
          <w:color w:val="auto"/>
          <w:sz w:val="24"/>
          <w:szCs w:val="24"/>
        </w:rPr>
      </w:pPr>
    </w:p>
    <w:p w14:paraId="75C58D50" w14:textId="77777777" w:rsidR="00EE355C" w:rsidRPr="00C779F4" w:rsidRDefault="00B8686C">
      <w:pPr>
        <w:pStyle w:val="2"/>
        <w:numPr>
          <w:ilvl w:val="0"/>
          <w:numId w:val="0"/>
        </w:numPr>
        <w:spacing w:beforeLines="0" w:line="420" w:lineRule="exact"/>
        <w:ind w:firstLineChars="200" w:firstLine="560"/>
        <w:rPr>
          <w:color w:val="auto"/>
        </w:rPr>
      </w:pPr>
      <w:r w:rsidRPr="00C779F4">
        <w:rPr>
          <w:rFonts w:hint="eastAsia"/>
          <w:color w:val="auto"/>
        </w:rPr>
        <w:t>四、课题申报说明</w:t>
      </w:r>
    </w:p>
    <w:p w14:paraId="36CB24CF" w14:textId="77777777" w:rsidR="00EE355C" w:rsidRPr="00C779F4" w:rsidRDefault="00B8686C">
      <w:pPr>
        <w:pStyle w:val="2"/>
        <w:numPr>
          <w:ilvl w:val="0"/>
          <w:numId w:val="0"/>
        </w:numPr>
        <w:spacing w:beforeLines="0" w:line="440" w:lineRule="exact"/>
        <w:ind w:firstLineChars="200" w:firstLine="48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1.申请人须仔细阅读申请指南，按照指南详细填写申请书，填写不合要求的课题会按照格式不符合要求处理。</w:t>
      </w:r>
    </w:p>
    <w:p w14:paraId="2A4FDEA9" w14:textId="77777777" w:rsidR="00EE355C" w:rsidRPr="00C779F4" w:rsidRDefault="00B8686C">
      <w:pPr>
        <w:pStyle w:val="2"/>
        <w:numPr>
          <w:ilvl w:val="0"/>
          <w:numId w:val="0"/>
        </w:numPr>
        <w:spacing w:beforeLines="0" w:line="440" w:lineRule="exact"/>
        <w:ind w:firstLineChars="200" w:firstLine="48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2.请各课题申请人按要求填写申请书（申请书中手机和邮箱必须填写），加盖学校公章及签字后扫描上传至：</w:t>
      </w:r>
      <w:r w:rsidRPr="00C779F4">
        <w:rPr>
          <w:rFonts w:eastAsia="宋体"/>
          <w:bCs w:val="0"/>
          <w:color w:val="auto"/>
          <w:sz w:val="24"/>
          <w:szCs w:val="24"/>
        </w:rPr>
        <w:t>http://cxjj.cutech.edu.cn</w:t>
      </w:r>
      <w:r w:rsidRPr="00C779F4">
        <w:rPr>
          <w:rFonts w:ascii="宋体" w:eastAsia="宋体" w:hAnsi="宋体" w:hint="eastAsia"/>
          <w:b w:val="0"/>
          <w:bCs w:val="0"/>
          <w:color w:val="auto"/>
          <w:sz w:val="24"/>
          <w:szCs w:val="24"/>
        </w:rPr>
        <w:t>；为方便评审，申请书</w:t>
      </w:r>
      <w:proofErr w:type="gramStart"/>
      <w:r w:rsidRPr="00C779F4">
        <w:rPr>
          <w:rFonts w:ascii="宋体" w:eastAsia="宋体" w:hAnsi="宋体" w:hint="eastAsia"/>
          <w:b w:val="0"/>
          <w:bCs w:val="0"/>
          <w:color w:val="auto"/>
          <w:sz w:val="24"/>
          <w:szCs w:val="24"/>
        </w:rPr>
        <w:t>扫描件请按</w:t>
      </w:r>
      <w:proofErr w:type="gramEnd"/>
      <w:r w:rsidRPr="00C779F4">
        <w:rPr>
          <w:rFonts w:ascii="宋体" w:eastAsia="宋体" w:hAnsi="宋体" w:hint="eastAsia"/>
          <w:b w:val="0"/>
          <w:bCs w:val="0"/>
          <w:color w:val="auto"/>
          <w:sz w:val="24"/>
          <w:szCs w:val="24"/>
        </w:rPr>
        <w:t>以下命名规则命名：学校名称+申请人姓名。</w:t>
      </w:r>
    </w:p>
    <w:p w14:paraId="551DBB7B" w14:textId="13C94127" w:rsidR="00EE355C" w:rsidRPr="00C779F4" w:rsidRDefault="00B8686C">
      <w:pPr>
        <w:pStyle w:val="2"/>
        <w:numPr>
          <w:ilvl w:val="0"/>
          <w:numId w:val="0"/>
        </w:numPr>
        <w:spacing w:beforeLines="0" w:line="440" w:lineRule="exact"/>
        <w:ind w:firstLineChars="200" w:firstLine="48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3.申请截止时间为</w:t>
      </w:r>
      <w:r w:rsidR="00C908DB">
        <w:rPr>
          <w:rFonts w:ascii="宋体" w:eastAsia="宋体" w:hAnsi="宋体" w:hint="eastAsia"/>
          <w:b w:val="0"/>
          <w:bCs w:val="0"/>
          <w:color w:val="auto"/>
          <w:sz w:val="24"/>
          <w:szCs w:val="24"/>
        </w:rPr>
        <w:t>2024</w:t>
      </w:r>
      <w:r w:rsidRPr="00C779F4">
        <w:rPr>
          <w:rFonts w:ascii="宋体" w:eastAsia="宋体" w:hAnsi="宋体" w:hint="eastAsia"/>
          <w:b w:val="0"/>
          <w:bCs w:val="0"/>
          <w:color w:val="auto"/>
          <w:sz w:val="24"/>
          <w:szCs w:val="24"/>
        </w:rPr>
        <w:t>年</w:t>
      </w:r>
      <w:r w:rsidR="00666880">
        <w:rPr>
          <w:rFonts w:ascii="宋体" w:eastAsia="宋体" w:hAnsi="宋体"/>
          <w:b w:val="0"/>
          <w:bCs w:val="0"/>
          <w:color w:val="auto"/>
          <w:sz w:val="24"/>
          <w:szCs w:val="24"/>
        </w:rPr>
        <w:t>8</w:t>
      </w:r>
      <w:r w:rsidRPr="00C779F4">
        <w:rPr>
          <w:rFonts w:ascii="宋体" w:eastAsia="宋体" w:hAnsi="宋体" w:hint="eastAsia"/>
          <w:b w:val="0"/>
          <w:bCs w:val="0"/>
          <w:color w:val="auto"/>
          <w:sz w:val="24"/>
          <w:szCs w:val="24"/>
        </w:rPr>
        <w:t>月</w:t>
      </w:r>
      <w:r w:rsidR="00666880">
        <w:rPr>
          <w:rFonts w:ascii="宋体" w:eastAsia="宋体" w:hAnsi="宋体"/>
          <w:b w:val="0"/>
          <w:bCs w:val="0"/>
          <w:color w:val="auto"/>
          <w:sz w:val="24"/>
          <w:szCs w:val="24"/>
        </w:rPr>
        <w:t>21</w:t>
      </w:r>
      <w:r w:rsidRPr="00C779F4">
        <w:rPr>
          <w:rFonts w:ascii="宋体" w:eastAsia="宋体" w:hAnsi="宋体" w:hint="eastAsia"/>
          <w:b w:val="0"/>
          <w:bCs w:val="0"/>
          <w:color w:val="auto"/>
          <w:sz w:val="24"/>
          <w:szCs w:val="24"/>
        </w:rPr>
        <w:t>日。</w:t>
      </w:r>
    </w:p>
    <w:p w14:paraId="70AE3F76" w14:textId="67653290" w:rsidR="00EE355C" w:rsidRPr="00C779F4" w:rsidRDefault="00B8686C">
      <w:pPr>
        <w:pStyle w:val="2"/>
        <w:numPr>
          <w:ilvl w:val="0"/>
          <w:numId w:val="0"/>
        </w:numPr>
        <w:spacing w:beforeLines="0" w:line="440" w:lineRule="exact"/>
        <w:ind w:firstLineChars="200" w:firstLine="48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4.课题的计划执行时间为</w:t>
      </w:r>
      <w:r w:rsidR="00C908DB">
        <w:rPr>
          <w:rFonts w:ascii="宋体" w:eastAsia="宋体" w:hAnsi="宋体" w:hint="eastAsia"/>
          <w:b w:val="0"/>
          <w:bCs w:val="0"/>
          <w:color w:val="auto"/>
          <w:sz w:val="24"/>
          <w:szCs w:val="24"/>
        </w:rPr>
        <w:t>2024</w:t>
      </w:r>
      <w:r w:rsidRPr="00C779F4">
        <w:rPr>
          <w:rFonts w:ascii="宋体" w:eastAsia="宋体" w:hAnsi="宋体" w:hint="eastAsia"/>
          <w:b w:val="0"/>
          <w:bCs w:val="0"/>
          <w:color w:val="auto"/>
          <w:sz w:val="24"/>
          <w:szCs w:val="24"/>
        </w:rPr>
        <w:t>年</w:t>
      </w:r>
      <w:r w:rsidR="00666880">
        <w:rPr>
          <w:rFonts w:ascii="宋体" w:eastAsia="宋体" w:hAnsi="宋体"/>
          <w:b w:val="0"/>
          <w:bCs w:val="0"/>
          <w:color w:val="auto"/>
          <w:sz w:val="24"/>
          <w:szCs w:val="24"/>
        </w:rPr>
        <w:t>10</w:t>
      </w:r>
      <w:r w:rsidRPr="00C779F4">
        <w:rPr>
          <w:rFonts w:ascii="宋体" w:eastAsia="宋体" w:hAnsi="宋体" w:hint="eastAsia"/>
          <w:b w:val="0"/>
          <w:bCs w:val="0"/>
          <w:color w:val="auto"/>
          <w:sz w:val="24"/>
          <w:szCs w:val="24"/>
        </w:rPr>
        <w:t>月</w:t>
      </w:r>
      <w:r w:rsidR="00DC747F" w:rsidRPr="00C779F4">
        <w:rPr>
          <w:rFonts w:ascii="宋体" w:eastAsia="宋体" w:hAnsi="宋体"/>
          <w:b w:val="0"/>
          <w:bCs w:val="0"/>
          <w:color w:val="auto"/>
          <w:sz w:val="24"/>
          <w:szCs w:val="24"/>
        </w:rPr>
        <w:t>1</w:t>
      </w:r>
      <w:r w:rsidRPr="00C779F4">
        <w:rPr>
          <w:rFonts w:ascii="宋体" w:eastAsia="宋体" w:hAnsi="宋体" w:hint="eastAsia"/>
          <w:b w:val="0"/>
          <w:bCs w:val="0"/>
          <w:color w:val="auto"/>
          <w:sz w:val="24"/>
          <w:szCs w:val="24"/>
        </w:rPr>
        <w:t>日～</w:t>
      </w:r>
      <w:r w:rsidR="00C908DB">
        <w:rPr>
          <w:rFonts w:ascii="宋体" w:eastAsia="宋体" w:hAnsi="宋体" w:hint="eastAsia"/>
          <w:b w:val="0"/>
          <w:bCs w:val="0"/>
          <w:color w:val="auto"/>
          <w:sz w:val="24"/>
          <w:szCs w:val="24"/>
        </w:rPr>
        <w:t>2025</w:t>
      </w:r>
      <w:r w:rsidRPr="00C779F4">
        <w:rPr>
          <w:rFonts w:ascii="宋体" w:eastAsia="宋体" w:hAnsi="宋体" w:hint="eastAsia"/>
          <w:b w:val="0"/>
          <w:bCs w:val="0"/>
          <w:color w:val="auto"/>
          <w:sz w:val="24"/>
          <w:szCs w:val="24"/>
        </w:rPr>
        <w:t>年</w:t>
      </w:r>
      <w:r w:rsidR="00666880">
        <w:rPr>
          <w:rFonts w:ascii="宋体" w:eastAsia="宋体" w:hAnsi="宋体"/>
          <w:b w:val="0"/>
          <w:bCs w:val="0"/>
          <w:color w:val="auto"/>
          <w:sz w:val="24"/>
          <w:szCs w:val="24"/>
        </w:rPr>
        <w:t>9</w:t>
      </w:r>
      <w:r w:rsidRPr="00C779F4">
        <w:rPr>
          <w:rFonts w:ascii="宋体" w:eastAsia="宋体" w:hAnsi="宋体" w:hint="eastAsia"/>
          <w:b w:val="0"/>
          <w:bCs w:val="0"/>
          <w:color w:val="auto"/>
          <w:sz w:val="24"/>
          <w:szCs w:val="24"/>
        </w:rPr>
        <w:t>月</w:t>
      </w:r>
      <w:r w:rsidR="00666880">
        <w:rPr>
          <w:rFonts w:ascii="宋体" w:eastAsia="宋体" w:hAnsi="宋体"/>
          <w:b w:val="0"/>
          <w:bCs w:val="0"/>
          <w:color w:val="auto"/>
          <w:sz w:val="24"/>
          <w:szCs w:val="24"/>
        </w:rPr>
        <w:t>30</w:t>
      </w:r>
      <w:r w:rsidRPr="00C779F4">
        <w:rPr>
          <w:rFonts w:ascii="宋体" w:eastAsia="宋体" w:hAnsi="宋体" w:hint="eastAsia"/>
          <w:b w:val="0"/>
          <w:bCs w:val="0"/>
          <w:color w:val="auto"/>
          <w:sz w:val="24"/>
          <w:szCs w:val="24"/>
        </w:rPr>
        <w:t>日。</w:t>
      </w:r>
    </w:p>
    <w:p w14:paraId="67C593A4" w14:textId="77777777" w:rsidR="00EE355C" w:rsidRPr="00C779F4" w:rsidRDefault="00B8686C">
      <w:pPr>
        <w:pStyle w:val="2"/>
        <w:numPr>
          <w:ilvl w:val="0"/>
          <w:numId w:val="0"/>
        </w:numPr>
        <w:spacing w:beforeLines="0" w:line="440" w:lineRule="exact"/>
        <w:ind w:firstLineChars="200" w:firstLine="48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5.课题选题列表上的选题方向都不限定课题数量，但是如果存在内容重复的相似课题，专家组将根据课题组技术积累、课题方案、课题支撑条件等要素择优选择立项课题。</w:t>
      </w:r>
    </w:p>
    <w:p w14:paraId="21BDEB7F" w14:textId="77777777" w:rsidR="00EE355C" w:rsidRPr="00C779F4" w:rsidRDefault="00B8686C">
      <w:pPr>
        <w:pStyle w:val="2"/>
        <w:numPr>
          <w:ilvl w:val="0"/>
          <w:numId w:val="0"/>
        </w:numPr>
        <w:spacing w:beforeLines="0" w:line="440" w:lineRule="exact"/>
        <w:ind w:firstLineChars="200" w:firstLine="48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6.如果以联合课题组的形式申请课题，需要列明不同单位的课题任务。</w:t>
      </w:r>
    </w:p>
    <w:p w14:paraId="0E0036B7" w14:textId="77777777" w:rsidR="00EE355C" w:rsidRPr="00C779F4" w:rsidRDefault="00B8686C">
      <w:pPr>
        <w:pStyle w:val="2"/>
        <w:numPr>
          <w:ilvl w:val="0"/>
          <w:numId w:val="0"/>
        </w:numPr>
        <w:spacing w:beforeLines="0" w:line="440" w:lineRule="exact"/>
        <w:ind w:firstLineChars="200" w:firstLine="480"/>
        <w:rPr>
          <w:rFonts w:ascii="宋体" w:eastAsia="宋体" w:hAnsi="宋体"/>
          <w:b w:val="0"/>
          <w:color w:val="auto"/>
          <w:sz w:val="24"/>
          <w:szCs w:val="24"/>
        </w:rPr>
      </w:pPr>
      <w:r w:rsidRPr="00C779F4">
        <w:rPr>
          <w:rFonts w:ascii="宋体" w:eastAsia="宋体" w:hAnsi="宋体" w:hint="eastAsia"/>
          <w:b w:val="0"/>
          <w:color w:val="auto"/>
          <w:sz w:val="24"/>
          <w:szCs w:val="24"/>
        </w:rPr>
        <w:t>7.课题申请人无需向支持企业额外购买配套设备</w:t>
      </w:r>
      <w:r w:rsidRPr="00C779F4">
        <w:rPr>
          <w:rFonts w:ascii="宋体" w:eastAsia="宋体" w:hAnsi="宋体"/>
          <w:b w:val="0"/>
          <w:color w:val="auto"/>
          <w:sz w:val="24"/>
          <w:szCs w:val="24"/>
        </w:rPr>
        <w:t>、产品</w:t>
      </w:r>
      <w:r w:rsidRPr="00C779F4">
        <w:rPr>
          <w:rFonts w:ascii="宋体" w:eastAsia="宋体" w:hAnsi="宋体" w:hint="eastAsia"/>
          <w:b w:val="0"/>
          <w:color w:val="auto"/>
          <w:sz w:val="24"/>
          <w:szCs w:val="24"/>
        </w:rPr>
        <w:t>或软件。</w:t>
      </w:r>
    </w:p>
    <w:p w14:paraId="2CA59823" w14:textId="77777777" w:rsidR="00295228" w:rsidRDefault="00295228">
      <w:pPr>
        <w:pStyle w:val="2"/>
        <w:numPr>
          <w:ilvl w:val="0"/>
          <w:numId w:val="0"/>
        </w:numPr>
        <w:spacing w:beforeLines="0" w:line="420" w:lineRule="exact"/>
        <w:ind w:firstLineChars="200" w:firstLine="560"/>
        <w:rPr>
          <w:color w:val="auto"/>
        </w:rPr>
      </w:pPr>
    </w:p>
    <w:p w14:paraId="52BB8038" w14:textId="77777777" w:rsidR="00295228" w:rsidRDefault="00295228">
      <w:pPr>
        <w:pStyle w:val="2"/>
        <w:numPr>
          <w:ilvl w:val="0"/>
          <w:numId w:val="0"/>
        </w:numPr>
        <w:spacing w:beforeLines="0" w:line="420" w:lineRule="exact"/>
        <w:ind w:firstLineChars="200" w:firstLine="560"/>
        <w:rPr>
          <w:color w:val="auto"/>
        </w:rPr>
      </w:pPr>
    </w:p>
    <w:p w14:paraId="393FBA36" w14:textId="67CA30B5" w:rsidR="00EE355C" w:rsidRPr="00C779F4" w:rsidRDefault="00B8686C">
      <w:pPr>
        <w:pStyle w:val="2"/>
        <w:numPr>
          <w:ilvl w:val="0"/>
          <w:numId w:val="0"/>
        </w:numPr>
        <w:spacing w:beforeLines="0" w:line="420" w:lineRule="exact"/>
        <w:ind w:firstLineChars="200" w:firstLine="560"/>
        <w:rPr>
          <w:color w:val="auto"/>
        </w:rPr>
      </w:pPr>
      <w:r w:rsidRPr="00C779F4">
        <w:rPr>
          <w:rFonts w:hint="eastAsia"/>
          <w:color w:val="auto"/>
        </w:rPr>
        <w:lastRenderedPageBreak/>
        <w:t>五、联系人及联系方式</w:t>
      </w:r>
    </w:p>
    <w:p w14:paraId="5CD77824" w14:textId="46E142DC" w:rsidR="00EE355C" w:rsidRPr="00C779F4" w:rsidRDefault="00B8686C">
      <w:pPr>
        <w:spacing w:before="0" w:after="0" w:line="440" w:lineRule="exact"/>
        <w:ind w:firstLineChars="235" w:firstLine="566"/>
        <w:rPr>
          <w:rFonts w:ascii="宋体" w:hAnsi="宋体"/>
          <w:color w:val="auto"/>
          <w:sz w:val="24"/>
          <w:szCs w:val="24"/>
        </w:rPr>
      </w:pPr>
      <w:r w:rsidRPr="00C779F4">
        <w:rPr>
          <w:rFonts w:ascii="宋体" w:hAnsi="宋体" w:hint="eastAsia"/>
          <w:b/>
          <w:color w:val="auto"/>
          <w:sz w:val="24"/>
          <w:szCs w:val="24"/>
        </w:rPr>
        <w:t>教育部</w:t>
      </w:r>
      <w:r w:rsidR="00A21AA6" w:rsidRPr="00C779F4">
        <w:rPr>
          <w:rFonts w:ascii="宋体" w:hAnsi="宋体" w:hint="eastAsia"/>
          <w:b/>
          <w:color w:val="auto"/>
          <w:sz w:val="24"/>
          <w:szCs w:val="24"/>
        </w:rPr>
        <w:t>高等</w:t>
      </w:r>
      <w:r w:rsidR="00A21AA6" w:rsidRPr="00C779F4">
        <w:rPr>
          <w:rFonts w:ascii="宋体" w:hAnsi="宋体"/>
          <w:b/>
          <w:color w:val="auto"/>
          <w:sz w:val="24"/>
          <w:szCs w:val="24"/>
        </w:rPr>
        <w:t>学校科学研究发展中心</w:t>
      </w:r>
    </w:p>
    <w:p w14:paraId="05003D51" w14:textId="0DDB0ED8" w:rsidR="00A21AA6" w:rsidRPr="00C779F4" w:rsidRDefault="00A21AA6">
      <w:pPr>
        <w:spacing w:before="0" w:after="0" w:line="440" w:lineRule="exact"/>
        <w:ind w:firstLineChars="235" w:firstLine="564"/>
        <w:jc w:val="left"/>
        <w:rPr>
          <w:rFonts w:ascii="宋体" w:hAnsi="宋体"/>
          <w:color w:val="auto"/>
          <w:sz w:val="24"/>
          <w:szCs w:val="24"/>
        </w:rPr>
      </w:pPr>
      <w:r w:rsidRPr="00C779F4">
        <w:rPr>
          <w:rFonts w:ascii="宋体" w:hAnsi="宋体" w:hint="eastAsia"/>
          <w:color w:val="auto"/>
          <w:sz w:val="24"/>
          <w:szCs w:val="24"/>
        </w:rPr>
        <w:t>基金申报</w:t>
      </w:r>
      <w:r w:rsidR="00C908DB">
        <w:rPr>
          <w:rFonts w:ascii="宋体" w:hAnsi="宋体"/>
          <w:color w:val="auto"/>
          <w:sz w:val="24"/>
          <w:szCs w:val="24"/>
        </w:rPr>
        <w:t>：</w:t>
      </w:r>
      <w:r w:rsidR="00C908DB">
        <w:rPr>
          <w:rFonts w:ascii="宋体" w:hAnsi="宋体" w:hint="eastAsia"/>
          <w:color w:val="auto"/>
          <w:sz w:val="24"/>
          <w:szCs w:val="24"/>
        </w:rPr>
        <w:t>杜润发</w:t>
      </w:r>
      <w:r w:rsidRPr="00C779F4">
        <w:rPr>
          <w:rFonts w:ascii="宋体" w:hAnsi="宋体"/>
          <w:color w:val="auto"/>
          <w:sz w:val="24"/>
          <w:szCs w:val="24"/>
        </w:rPr>
        <w:t xml:space="preserve">  电话：</w:t>
      </w:r>
      <w:r w:rsidRPr="00C779F4">
        <w:rPr>
          <w:rFonts w:ascii="宋体" w:hAnsi="宋体" w:hint="eastAsia"/>
          <w:color w:val="auto"/>
          <w:sz w:val="24"/>
          <w:szCs w:val="24"/>
        </w:rPr>
        <w:t>010</w:t>
      </w:r>
      <w:r w:rsidR="00C908DB">
        <w:rPr>
          <w:rFonts w:ascii="宋体" w:hAnsi="宋体"/>
          <w:color w:val="auto"/>
          <w:sz w:val="24"/>
          <w:szCs w:val="24"/>
        </w:rPr>
        <w:t>-62514695</w:t>
      </w:r>
      <w:r w:rsidRPr="00C779F4">
        <w:rPr>
          <w:rFonts w:ascii="宋体" w:hAnsi="宋体" w:hint="eastAsia"/>
          <w:color w:val="auto"/>
          <w:sz w:val="24"/>
          <w:szCs w:val="24"/>
        </w:rPr>
        <w:t>，</w:t>
      </w:r>
      <w:r w:rsidR="00C908DB">
        <w:rPr>
          <w:rFonts w:ascii="宋体" w:hAnsi="宋体" w:hint="eastAsia"/>
          <w:color w:val="auto"/>
          <w:sz w:val="24"/>
          <w:szCs w:val="24"/>
        </w:rPr>
        <w:t>18610993567</w:t>
      </w:r>
    </w:p>
    <w:p w14:paraId="72B40360" w14:textId="77777777" w:rsidR="00C908DB" w:rsidRDefault="00C908DB">
      <w:pPr>
        <w:spacing w:before="0" w:after="0" w:line="440" w:lineRule="exact"/>
        <w:ind w:firstLineChars="235" w:firstLine="566"/>
        <w:rPr>
          <w:rFonts w:ascii="宋体" w:hAnsi="宋体"/>
          <w:b/>
          <w:color w:val="auto"/>
          <w:sz w:val="24"/>
          <w:szCs w:val="24"/>
        </w:rPr>
      </w:pPr>
      <w:r w:rsidRPr="00C908DB">
        <w:rPr>
          <w:rFonts w:ascii="宋体" w:hAnsi="宋体" w:hint="eastAsia"/>
          <w:b/>
          <w:color w:val="auto"/>
          <w:sz w:val="24"/>
          <w:szCs w:val="24"/>
        </w:rPr>
        <w:t>深圳迈瑞生物医疗电子股份有限公司</w:t>
      </w:r>
    </w:p>
    <w:p w14:paraId="331D72CF" w14:textId="48D75C72" w:rsidR="00C908DB" w:rsidRDefault="00A21AA6">
      <w:pPr>
        <w:spacing w:before="0" w:after="0" w:line="440" w:lineRule="exact"/>
        <w:ind w:firstLineChars="235" w:firstLine="564"/>
        <w:rPr>
          <w:rFonts w:ascii="宋体" w:hAnsi="宋体"/>
          <w:iCs w:val="0"/>
          <w:color w:val="auto"/>
          <w:kern w:val="2"/>
          <w:sz w:val="24"/>
          <w:szCs w:val="24"/>
        </w:rPr>
      </w:pPr>
      <w:r w:rsidRPr="00C779F4">
        <w:rPr>
          <w:rFonts w:ascii="宋体" w:hAnsi="宋体" w:hint="eastAsia"/>
          <w:color w:val="auto"/>
          <w:sz w:val="24"/>
          <w:szCs w:val="24"/>
        </w:rPr>
        <w:t>技术支持</w:t>
      </w:r>
      <w:r w:rsidR="00C908DB">
        <w:rPr>
          <w:rFonts w:ascii="宋体" w:hAnsi="宋体" w:hint="eastAsia"/>
          <w:color w:val="auto"/>
          <w:sz w:val="24"/>
          <w:szCs w:val="24"/>
        </w:rPr>
        <w:t>：</w:t>
      </w:r>
      <w:r w:rsidR="00C908DB">
        <w:rPr>
          <w:rFonts w:ascii="宋体" w:hAnsi="宋体"/>
          <w:color w:val="auto"/>
          <w:sz w:val="24"/>
          <w:szCs w:val="24"/>
        </w:rPr>
        <w:t>王淑英</w:t>
      </w:r>
      <w:r w:rsidR="00B8686C" w:rsidRPr="00C779F4">
        <w:rPr>
          <w:rFonts w:ascii="宋体" w:hAnsi="宋体" w:hint="eastAsia"/>
          <w:color w:val="auto"/>
          <w:sz w:val="24"/>
          <w:szCs w:val="24"/>
        </w:rPr>
        <w:t xml:space="preserve"> </w:t>
      </w:r>
      <w:r w:rsidR="00B8686C" w:rsidRPr="00C779F4">
        <w:rPr>
          <w:rFonts w:ascii="宋体" w:hAnsi="宋体"/>
          <w:color w:val="auto"/>
          <w:sz w:val="24"/>
          <w:szCs w:val="24"/>
        </w:rPr>
        <w:t xml:space="preserve"> </w:t>
      </w:r>
      <w:r w:rsidR="00B8686C" w:rsidRPr="00C779F4">
        <w:rPr>
          <w:rFonts w:ascii="宋体" w:hAnsi="宋体" w:hint="eastAsia"/>
          <w:iCs w:val="0"/>
          <w:color w:val="auto"/>
          <w:kern w:val="2"/>
          <w:sz w:val="24"/>
          <w:szCs w:val="24"/>
        </w:rPr>
        <w:t>电话：</w:t>
      </w:r>
      <w:r w:rsidR="003272C1">
        <w:rPr>
          <w:rFonts w:ascii="宋体" w:hAnsi="宋体" w:hint="eastAsia"/>
          <w:iCs w:val="0"/>
          <w:color w:val="auto"/>
          <w:kern w:val="2"/>
          <w:sz w:val="24"/>
          <w:szCs w:val="24"/>
        </w:rPr>
        <w:t>15901339104</w:t>
      </w:r>
    </w:p>
    <w:p w14:paraId="5A6BAB7F" w14:textId="0EAEAC27" w:rsidR="00EE355C" w:rsidRPr="00C908DB" w:rsidRDefault="00C908DB" w:rsidP="00C908DB">
      <w:pPr>
        <w:spacing w:before="0" w:after="0" w:line="440" w:lineRule="exact"/>
        <w:ind w:firstLineChars="735" w:firstLine="1764"/>
        <w:rPr>
          <w:rFonts w:ascii="宋体" w:hAnsi="宋体"/>
          <w:iCs w:val="0"/>
          <w:color w:val="auto"/>
          <w:kern w:val="2"/>
          <w:sz w:val="24"/>
          <w:szCs w:val="24"/>
        </w:rPr>
      </w:pPr>
      <w:r>
        <w:rPr>
          <w:rFonts w:ascii="宋体" w:hAnsi="宋体" w:hint="eastAsia"/>
          <w:iCs w:val="0"/>
          <w:color w:val="auto"/>
          <w:kern w:val="2"/>
          <w:sz w:val="24"/>
          <w:szCs w:val="24"/>
        </w:rPr>
        <w:t>杨  程</w:t>
      </w:r>
      <w:r w:rsidR="00B8686C" w:rsidRPr="00C779F4">
        <w:rPr>
          <w:rFonts w:ascii="宋体" w:hAnsi="宋体" w:hint="eastAsia"/>
          <w:iCs w:val="0"/>
          <w:color w:val="auto"/>
          <w:kern w:val="2"/>
          <w:sz w:val="24"/>
          <w:szCs w:val="24"/>
        </w:rPr>
        <w:t xml:space="preserve">  电话</w:t>
      </w:r>
      <w:r w:rsidR="00B8686C" w:rsidRPr="00C779F4">
        <w:rPr>
          <w:rFonts w:ascii="宋体" w:hAnsi="宋体"/>
          <w:iCs w:val="0"/>
          <w:color w:val="auto"/>
          <w:kern w:val="2"/>
          <w:sz w:val="24"/>
          <w:szCs w:val="24"/>
        </w:rPr>
        <w:t>：</w:t>
      </w:r>
      <w:r w:rsidRPr="00C908DB">
        <w:rPr>
          <w:rFonts w:ascii="宋体" w:hAnsi="宋体"/>
          <w:iCs w:val="0"/>
          <w:color w:val="auto"/>
          <w:kern w:val="2"/>
          <w:sz w:val="24"/>
          <w:szCs w:val="24"/>
        </w:rPr>
        <w:t>13632848726</w:t>
      </w:r>
    </w:p>
    <w:sectPr w:rsidR="00EE355C" w:rsidRPr="00C908D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240918" w16cid:durableId="276FDC00"/>
  <w16cid:commentId w16cid:paraId="5AEB42E4" w16cid:durableId="276FDC0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FE59F" w14:textId="77777777" w:rsidR="000E3D2C" w:rsidRDefault="000E3D2C">
      <w:pPr>
        <w:ind w:firstLine="420"/>
      </w:pPr>
      <w:r>
        <w:separator/>
      </w:r>
    </w:p>
  </w:endnote>
  <w:endnote w:type="continuationSeparator" w:id="0">
    <w:p w14:paraId="20DD146A" w14:textId="77777777" w:rsidR="000E3D2C" w:rsidRDefault="000E3D2C">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B46C8" w14:textId="77777777" w:rsidR="00B8686C" w:rsidRDefault="00B8686C">
    <w:pPr>
      <w:pStyle w:val="a7"/>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F0E68" w14:textId="77777777" w:rsidR="00B8686C" w:rsidRDefault="00B8686C">
    <w:pPr>
      <w:pStyle w:val="a7"/>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D6080" w14:textId="77777777" w:rsidR="00B8686C" w:rsidRDefault="00B8686C">
    <w:pPr>
      <w:pStyle w:val="a7"/>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7D13A" w14:textId="77777777" w:rsidR="000E3D2C" w:rsidRDefault="000E3D2C">
      <w:pPr>
        <w:spacing w:before="0" w:after="0"/>
        <w:ind w:firstLine="420"/>
      </w:pPr>
      <w:r>
        <w:separator/>
      </w:r>
    </w:p>
  </w:footnote>
  <w:footnote w:type="continuationSeparator" w:id="0">
    <w:p w14:paraId="64081975" w14:textId="77777777" w:rsidR="000E3D2C" w:rsidRDefault="000E3D2C">
      <w:pPr>
        <w:spacing w:before="0" w:after="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C7C20" w14:textId="77777777" w:rsidR="00B8686C" w:rsidRDefault="00B8686C">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AEF8D" w14:textId="77777777" w:rsidR="00B8686C" w:rsidRDefault="00B8686C">
    <w:pPr>
      <w:pStyle w:val="a9"/>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735F5" w14:textId="77777777" w:rsidR="00B8686C" w:rsidRDefault="00B8686C">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712D9E"/>
    <w:multiLevelType w:val="hybridMultilevel"/>
    <w:tmpl w:val="51BAA4AC"/>
    <w:lvl w:ilvl="0" w:tplc="138AEC92">
      <w:start w:val="1"/>
      <w:numFmt w:val="decimalEnclosedParen"/>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2" w15:restartNumberingAfterBreak="0">
    <w:nsid w:val="73485E25"/>
    <w:multiLevelType w:val="singleLevel"/>
    <w:tmpl w:val="73485E25"/>
    <w:lvl w:ilvl="0">
      <w:start w:val="1"/>
      <w:numFmt w:val="decimal"/>
      <w:suff w:val="nothing"/>
      <w:lvlText w:val="%1．"/>
      <w:lvlJc w:val="left"/>
    </w:lvl>
  </w:abstractNum>
  <w:abstractNum w:abstractNumId="3" w15:restartNumberingAfterBreak="0">
    <w:nsid w:val="7ED090CC"/>
    <w:multiLevelType w:val="singleLevel"/>
    <w:tmpl w:val="7ED090CC"/>
    <w:lvl w:ilvl="0">
      <w:start w:val="1"/>
      <w:numFmt w:val="decimal"/>
      <w:lvlText w:val="%1."/>
      <w:lvlJc w:val="left"/>
      <w:pPr>
        <w:tabs>
          <w:tab w:val="left" w:pos="312"/>
        </w:tabs>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BkZDBkZjkxZmNhY2EyYzFlODI5ZTM5MjE4ZDFkYjgifQ=="/>
    <w:docVar w:name="KSO_WPS_MARK_KEY" w:val="dc8f719e-db8b-45bf-9f31-32baab838cef"/>
  </w:docVars>
  <w:rsids>
    <w:rsidRoot w:val="31C15D21"/>
    <w:rsid w:val="000578CD"/>
    <w:rsid w:val="00066487"/>
    <w:rsid w:val="000A0ACE"/>
    <w:rsid w:val="000A3C2C"/>
    <w:rsid w:val="000E3D2C"/>
    <w:rsid w:val="0015585F"/>
    <w:rsid w:val="00156948"/>
    <w:rsid w:val="00181C2B"/>
    <w:rsid w:val="0021396B"/>
    <w:rsid w:val="00295228"/>
    <w:rsid w:val="002E6BDE"/>
    <w:rsid w:val="003272C1"/>
    <w:rsid w:val="003F6394"/>
    <w:rsid w:val="00486503"/>
    <w:rsid w:val="004A3073"/>
    <w:rsid w:val="004A5001"/>
    <w:rsid w:val="00502A51"/>
    <w:rsid w:val="00527FC8"/>
    <w:rsid w:val="005463A1"/>
    <w:rsid w:val="005776D9"/>
    <w:rsid w:val="00580B1D"/>
    <w:rsid w:val="00581D8E"/>
    <w:rsid w:val="00582759"/>
    <w:rsid w:val="00595E1C"/>
    <w:rsid w:val="00615C30"/>
    <w:rsid w:val="00661D65"/>
    <w:rsid w:val="00666880"/>
    <w:rsid w:val="007A6540"/>
    <w:rsid w:val="007D7EE8"/>
    <w:rsid w:val="008214C4"/>
    <w:rsid w:val="00880014"/>
    <w:rsid w:val="00881D58"/>
    <w:rsid w:val="008B7759"/>
    <w:rsid w:val="008C3A05"/>
    <w:rsid w:val="008E2BE9"/>
    <w:rsid w:val="008F7B6B"/>
    <w:rsid w:val="00932FBD"/>
    <w:rsid w:val="009500A9"/>
    <w:rsid w:val="00964176"/>
    <w:rsid w:val="0097546A"/>
    <w:rsid w:val="009865C1"/>
    <w:rsid w:val="009872D1"/>
    <w:rsid w:val="009F01C3"/>
    <w:rsid w:val="00A21AA6"/>
    <w:rsid w:val="00A325F0"/>
    <w:rsid w:val="00A47567"/>
    <w:rsid w:val="00AA10DC"/>
    <w:rsid w:val="00B106A6"/>
    <w:rsid w:val="00B55835"/>
    <w:rsid w:val="00B85DB6"/>
    <w:rsid w:val="00B8686C"/>
    <w:rsid w:val="00BC282A"/>
    <w:rsid w:val="00BC3C62"/>
    <w:rsid w:val="00C208D7"/>
    <w:rsid w:val="00C244A0"/>
    <w:rsid w:val="00C50181"/>
    <w:rsid w:val="00C779F4"/>
    <w:rsid w:val="00C908DB"/>
    <w:rsid w:val="00CB4451"/>
    <w:rsid w:val="00CC03EB"/>
    <w:rsid w:val="00D22D19"/>
    <w:rsid w:val="00D27C0E"/>
    <w:rsid w:val="00D649FD"/>
    <w:rsid w:val="00DC747F"/>
    <w:rsid w:val="00E74631"/>
    <w:rsid w:val="00EE355C"/>
    <w:rsid w:val="00F01D48"/>
    <w:rsid w:val="00F170D7"/>
    <w:rsid w:val="00FA249C"/>
    <w:rsid w:val="00FC35BF"/>
    <w:rsid w:val="00FD7668"/>
    <w:rsid w:val="01747354"/>
    <w:rsid w:val="06A93E29"/>
    <w:rsid w:val="0A7A504E"/>
    <w:rsid w:val="0C9F4CFB"/>
    <w:rsid w:val="0CAE71A8"/>
    <w:rsid w:val="0E2009D4"/>
    <w:rsid w:val="0FF53C80"/>
    <w:rsid w:val="0FFA2130"/>
    <w:rsid w:val="16570F0F"/>
    <w:rsid w:val="167D14CF"/>
    <w:rsid w:val="17C2508C"/>
    <w:rsid w:val="1AC14F6D"/>
    <w:rsid w:val="1AD604EC"/>
    <w:rsid w:val="1C28386D"/>
    <w:rsid w:val="1D952335"/>
    <w:rsid w:val="1E9A2507"/>
    <w:rsid w:val="20AF7B81"/>
    <w:rsid w:val="214F05E5"/>
    <w:rsid w:val="24D10DE1"/>
    <w:rsid w:val="25781413"/>
    <w:rsid w:val="26664013"/>
    <w:rsid w:val="267C5024"/>
    <w:rsid w:val="29C0428D"/>
    <w:rsid w:val="2B7D15E1"/>
    <w:rsid w:val="2DA17F46"/>
    <w:rsid w:val="2E1A367D"/>
    <w:rsid w:val="2EDB6FB6"/>
    <w:rsid w:val="31580A87"/>
    <w:rsid w:val="31C15D21"/>
    <w:rsid w:val="343E3545"/>
    <w:rsid w:val="34E92B56"/>
    <w:rsid w:val="35234530"/>
    <w:rsid w:val="3611248A"/>
    <w:rsid w:val="37F55A83"/>
    <w:rsid w:val="3AA94C1B"/>
    <w:rsid w:val="3B0B7012"/>
    <w:rsid w:val="3B7D1381"/>
    <w:rsid w:val="3BB61B00"/>
    <w:rsid w:val="3DA63A02"/>
    <w:rsid w:val="3EF91720"/>
    <w:rsid w:val="41147A97"/>
    <w:rsid w:val="412070D7"/>
    <w:rsid w:val="448824A8"/>
    <w:rsid w:val="44BD67FB"/>
    <w:rsid w:val="461B5547"/>
    <w:rsid w:val="46892F47"/>
    <w:rsid w:val="4BEF6527"/>
    <w:rsid w:val="4D5C2911"/>
    <w:rsid w:val="4F044A8C"/>
    <w:rsid w:val="4FED5B40"/>
    <w:rsid w:val="51903EDE"/>
    <w:rsid w:val="525A0A68"/>
    <w:rsid w:val="554D1F93"/>
    <w:rsid w:val="564B522F"/>
    <w:rsid w:val="564C1367"/>
    <w:rsid w:val="57053183"/>
    <w:rsid w:val="58103ED8"/>
    <w:rsid w:val="59527BBB"/>
    <w:rsid w:val="5B131DFB"/>
    <w:rsid w:val="5B825A02"/>
    <w:rsid w:val="5FF23BEF"/>
    <w:rsid w:val="613207EC"/>
    <w:rsid w:val="61527636"/>
    <w:rsid w:val="63012C54"/>
    <w:rsid w:val="6AD14A3F"/>
    <w:rsid w:val="6AF0720C"/>
    <w:rsid w:val="6D3439BB"/>
    <w:rsid w:val="709F49F7"/>
    <w:rsid w:val="731C67A1"/>
    <w:rsid w:val="732B40EE"/>
    <w:rsid w:val="74946763"/>
    <w:rsid w:val="77A67382"/>
    <w:rsid w:val="77CB499F"/>
    <w:rsid w:val="79F75F20"/>
    <w:rsid w:val="7E8F6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AE9554"/>
  <w15:docId w15:val="{230C1F01-DEF5-4E55-97C1-6608F8B57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after="120"/>
      <w:ind w:firstLineChars="200" w:firstLine="200"/>
      <w:jc w:val="both"/>
    </w:pPr>
    <w:rPr>
      <w:iCs/>
      <w:color w:val="000000" w:themeColor="text1"/>
      <w:sz w:val="21"/>
    </w:rPr>
  </w:style>
  <w:style w:type="paragraph" w:styleId="1">
    <w:name w:val="heading 1"/>
    <w:basedOn w:val="a"/>
    <w:next w:val="a"/>
    <w:uiPriority w:val="9"/>
    <w:qFormat/>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unhideWhenUsed/>
    <w:qFormat/>
    <w:pPr>
      <w:numPr>
        <w:numId w:val="1"/>
      </w:numPr>
      <w:spacing w:beforeLines="50" w:after="0"/>
      <w:ind w:firstLineChars="0" w:firstLine="0"/>
      <w:contextualSpacing/>
      <w:jc w:val="left"/>
      <w:outlineLvl w:val="1"/>
    </w:pPr>
    <w:rPr>
      <w:rFonts w:eastAsia="微软雅黑"/>
      <w:b/>
      <w:bCs/>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pPr>
      <w:spacing w:before="0" w:after="0"/>
    </w:pPr>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qFormat/>
    <w:rPr>
      <w:b/>
      <w:bCs/>
    </w:rPr>
  </w:style>
  <w:style w:type="character" w:styleId="ad">
    <w:name w:val="annotation reference"/>
    <w:basedOn w:val="a0"/>
    <w:qFormat/>
    <w:rPr>
      <w:sz w:val="21"/>
      <w:szCs w:val="21"/>
    </w:rPr>
  </w:style>
  <w:style w:type="paragraph" w:styleId="ae">
    <w:name w:val="List Paragraph"/>
    <w:basedOn w:val="a"/>
    <w:uiPriority w:val="34"/>
    <w:qFormat/>
    <w:pPr>
      <w:ind w:left="720"/>
      <w:contextualSpacing/>
    </w:pPr>
  </w:style>
  <w:style w:type="character" w:customStyle="1" w:styleId="font21">
    <w:name w:val="font21"/>
    <w:basedOn w:val="a0"/>
    <w:qFormat/>
    <w:rPr>
      <w:rFonts w:ascii="宋体" w:eastAsia="宋体" w:hAnsi="宋体" w:cs="宋体" w:hint="eastAsia"/>
      <w:color w:val="FF0000"/>
      <w:sz w:val="22"/>
      <w:szCs w:val="22"/>
      <w:u w:val="none"/>
    </w:rPr>
  </w:style>
  <w:style w:type="character" w:customStyle="1" w:styleId="font11">
    <w:name w:val="font11"/>
    <w:basedOn w:val="a0"/>
    <w:qFormat/>
    <w:rPr>
      <w:rFonts w:ascii="宋体" w:eastAsia="宋体" w:hAnsi="宋体" w:cs="宋体" w:hint="eastAsia"/>
      <w:color w:val="000000"/>
      <w:sz w:val="22"/>
      <w:szCs w:val="22"/>
      <w:u w:val="none"/>
    </w:rPr>
  </w:style>
  <w:style w:type="character" w:customStyle="1" w:styleId="a4">
    <w:name w:val="批注文字 字符"/>
    <w:basedOn w:val="a0"/>
    <w:link w:val="a3"/>
    <w:qFormat/>
    <w:rPr>
      <w:iCs/>
      <w:color w:val="000000" w:themeColor="text1"/>
      <w:sz w:val="21"/>
    </w:rPr>
  </w:style>
  <w:style w:type="character" w:customStyle="1" w:styleId="ac">
    <w:name w:val="批注主题 字符"/>
    <w:basedOn w:val="a4"/>
    <w:link w:val="ab"/>
    <w:qFormat/>
    <w:rPr>
      <w:b/>
      <w:bCs/>
      <w:iCs/>
      <w:color w:val="000000" w:themeColor="text1"/>
      <w:sz w:val="21"/>
    </w:rPr>
  </w:style>
  <w:style w:type="character" w:customStyle="1" w:styleId="aa">
    <w:name w:val="页眉 字符"/>
    <w:basedOn w:val="a0"/>
    <w:link w:val="a9"/>
    <w:qFormat/>
    <w:rPr>
      <w:iCs/>
      <w:color w:val="000000" w:themeColor="text1"/>
      <w:sz w:val="18"/>
      <w:szCs w:val="18"/>
    </w:rPr>
  </w:style>
  <w:style w:type="character" w:customStyle="1" w:styleId="a8">
    <w:name w:val="页脚 字符"/>
    <w:basedOn w:val="a0"/>
    <w:link w:val="a7"/>
    <w:qFormat/>
    <w:rPr>
      <w:iCs/>
      <w:color w:val="000000" w:themeColor="text1"/>
      <w:sz w:val="18"/>
      <w:szCs w:val="18"/>
    </w:rPr>
  </w:style>
  <w:style w:type="character" w:customStyle="1" w:styleId="a6">
    <w:name w:val="批注框文本 字符"/>
    <w:basedOn w:val="a0"/>
    <w:link w:val="a5"/>
    <w:qFormat/>
    <w:rPr>
      <w:iCs/>
      <w:color w:val="000000" w:themeColor="text1"/>
      <w:sz w:val="18"/>
      <w:szCs w:val="18"/>
    </w:rPr>
  </w:style>
  <w:style w:type="paragraph" w:customStyle="1" w:styleId="10">
    <w:name w:val="修订1"/>
    <w:hidden/>
    <w:uiPriority w:val="99"/>
    <w:semiHidden/>
    <w:qFormat/>
    <w:rPr>
      <w:iCs/>
      <w:color w:val="000000" w:themeColor="text1"/>
      <w:sz w:val="21"/>
    </w:rPr>
  </w:style>
  <w:style w:type="paragraph" w:customStyle="1" w:styleId="20">
    <w:name w:val="修订2"/>
    <w:hidden/>
    <w:uiPriority w:val="99"/>
    <w:semiHidden/>
    <w:qFormat/>
    <w:rPr>
      <w:iCs/>
      <w:color w:val="000000" w:themeColor="text1"/>
      <w:sz w:val="21"/>
    </w:rPr>
  </w:style>
  <w:style w:type="paragraph" w:styleId="af">
    <w:name w:val="Revision"/>
    <w:hidden/>
    <w:uiPriority w:val="99"/>
    <w:semiHidden/>
    <w:rsid w:val="009500A9"/>
    <w:rPr>
      <w:iCs/>
      <w:color w:val="000000" w:themeColor="text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A8846-2F9F-4E7B-AD33-822531A36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1202</Words>
  <Characters>6854</Characters>
  <Application>Microsoft Office Word</Application>
  <DocSecurity>0</DocSecurity>
  <Lines>57</Lines>
  <Paragraphs>16</Paragraphs>
  <ScaleCrop>false</ScaleCrop>
  <Company/>
  <LinksUpToDate>false</LinksUpToDate>
  <CharactersWithSpaces>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一花一世界</dc:creator>
  <cp:lastModifiedBy>yangxuemin</cp:lastModifiedBy>
  <cp:revision>7</cp:revision>
  <cp:lastPrinted>2024-05-22T07:10:00Z</cp:lastPrinted>
  <dcterms:created xsi:type="dcterms:W3CDTF">2024-05-11T02:29:00Z</dcterms:created>
  <dcterms:modified xsi:type="dcterms:W3CDTF">2024-05-23T02:14:00Z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C8CAC77B093A48F99A584BE295D50131</vt:lpwstr>
  </property>
</Properties>
</file>