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both"/>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jc w:val="center"/>
        <w:rPr>
          <w:rFonts w:ascii="黑体" w:hAnsi="黑体" w:eastAsia="黑体" w:cs="仿宋_GB2312"/>
          <w:bCs/>
          <w:sz w:val="32"/>
          <w:szCs w:val="32"/>
        </w:rPr>
      </w:pPr>
      <w:r>
        <w:rPr>
          <w:rFonts w:hint="eastAsia" w:ascii="黑体" w:hAnsi="黑体" w:eastAsia="黑体" w:cs="仿宋_GB2312"/>
          <w:bCs/>
          <w:sz w:val="32"/>
          <w:szCs w:val="32"/>
        </w:rPr>
        <w:t>“青年红色筑梦之旅”赛道项目评审要点：公益组</w:t>
      </w:r>
    </w:p>
    <w:tbl>
      <w:tblPr>
        <w:tblStyle w:val="4"/>
        <w:tblW w:w="500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0"/>
        <w:gridCol w:w="12397"/>
        <w:gridCol w:w="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3"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8"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8"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黑体" w:hAnsi="黑体" w:eastAsia="黑体" w:cs="仿宋_GB2312"/>
                <w:bCs/>
                <w:sz w:val="24"/>
                <w:szCs w:val="24"/>
              </w:rPr>
            </w:pPr>
            <w:r>
              <w:rPr>
                <w:rFonts w:hint="eastAsia" w:ascii="黑体" w:hAnsi="黑体" w:eastAsia="黑体" w:cs="仿宋_GB2312"/>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483"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教育维度</w:t>
            </w:r>
          </w:p>
        </w:tc>
        <w:tc>
          <w:tcPr>
            <w:tcW w:w="4188" w:type="pct"/>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项目应弘扬正确的价值观，体现家国情怀，恪守伦理规范，有助于培育创新创业精神。</w:t>
            </w:r>
          </w:p>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解决各类社会问题，展现创新创业教育对创业者基本素养和认知的塑造力和提升创业者综合能力的效力。</w:t>
            </w:r>
          </w:p>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.项目能充分体现院校在新工科、新医科、新农科、新文科建设方面取得的成果；项目充分体现专业教育、思政教育、创新创业教育的有机融合；体现院校在项目的培育、孵化等方面的支持情况。</w:t>
            </w:r>
          </w:p>
        </w:tc>
        <w:tc>
          <w:tcPr>
            <w:tcW w:w="328"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仿宋_GB2312" w:hAnsi="仿宋_GB2312" w:eastAsia="仿宋_GB2312" w:cs="仿宋_GB2312"/>
                <w:bCs/>
                <w:sz w:val="24"/>
                <w:szCs w:val="24"/>
              </w:rPr>
            </w:pPr>
            <w:r>
              <w:rPr>
                <w:rFonts w:ascii="仿宋_GB2312" w:hAnsi="仿宋_GB2312" w:eastAsia="仿宋_GB2312" w:cs="仿宋_GB2312"/>
                <w:bCs/>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3"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公益维度</w:t>
            </w:r>
          </w:p>
        </w:tc>
        <w:tc>
          <w:tcPr>
            <w:tcW w:w="4188" w:type="pct"/>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1.项目以社会价值为导向，以谋求公共利益为目的，以解决社会问题为使命，不以营利为目标，有一定公益成果。</w:t>
            </w:r>
          </w:p>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ascii="仿宋_GB2312" w:hAnsi="仿宋_GB2312" w:eastAsia="仿宋_GB2312" w:cs="仿宋_GB2312"/>
                <w:sz w:val="24"/>
                <w:szCs w:val="24"/>
              </w:rPr>
              <w:t>2.在公益服务领域具有较好的创意、产品或服务模式的创业计划和实践，追求社会效益</w:t>
            </w:r>
            <w:r>
              <w:rPr>
                <w:rFonts w:hint="eastAsia" w:ascii="仿宋_GB2312" w:hAnsi="仿宋_GB2312" w:eastAsia="仿宋_GB2312" w:cs="仿宋_GB2312"/>
                <w:sz w:val="24"/>
                <w:szCs w:val="24"/>
              </w:rPr>
              <w:t>的</w:t>
            </w:r>
            <w:r>
              <w:rPr>
                <w:rFonts w:ascii="仿宋_GB2312" w:hAnsi="仿宋_GB2312" w:eastAsia="仿宋_GB2312" w:cs="仿宋_GB2312"/>
                <w:sz w:val="24"/>
                <w:szCs w:val="24"/>
              </w:rPr>
              <w:t>最大化。</w:t>
            </w:r>
          </w:p>
        </w:tc>
        <w:tc>
          <w:tcPr>
            <w:tcW w:w="328"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仿宋_GB2312" w:hAnsi="仿宋_GB2312" w:eastAsia="仿宋_GB2312" w:cs="仿宋_GB2312"/>
                <w:bCs/>
                <w:sz w:val="24"/>
                <w:szCs w:val="24"/>
              </w:rPr>
            </w:pPr>
            <w:r>
              <w:rPr>
                <w:rFonts w:hint="eastAsia" w:ascii="仿宋_GB2312" w:hAnsi="仿宋_GB2312" w:eastAsia="仿宋_GB2312" w:cs="仿宋_GB2312"/>
                <w:bCs/>
                <w:sz w:val="24"/>
                <w:szCs w:val="24"/>
              </w:rPr>
              <w:t>1</w:t>
            </w:r>
            <w:r>
              <w:rPr>
                <w:rFonts w:ascii="仿宋_GB2312" w:hAnsi="仿宋_GB2312" w:eastAsia="仿宋_GB2312" w:cs="仿宋_GB2312"/>
                <w:bCs/>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rPr>
        <w:tc>
          <w:tcPr>
            <w:tcW w:w="483"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8" w:type="pct"/>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1.团队的组成原则与过程是否科学合理；是否具有从事公益创业所需的知识、技术和经验；是否有明确的使命愿景。</w:t>
            </w:r>
          </w:p>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2.团队内部的组织构架、人员配置、分工协作、能力结构、专业结构、激励制度的合理性情况；团队外部服务支撑体系完备（如志愿者团队等）、具有一定规模、实施有效管理使其发挥重要作用的情况。</w:t>
            </w:r>
          </w:p>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3.团队与项目关系的真实性、紧密性情况；团队对项目的各项投入情况；团队的延续性或接替性情况。</w:t>
            </w:r>
          </w:p>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8"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483"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8" w:type="pct"/>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1.项目通过吸纳捐赠、获取政府资助、自营收等方式确保持续生存能力情况。</w:t>
            </w:r>
          </w:p>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2.团队基于一定的产品、服务、模式，通过高效管理、资源整合、活动策划等运营手段，确保项目影响力与实效性。</w:t>
            </w:r>
          </w:p>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3.项目对促进就业、教育、医疗、养老、环境保护与生态建设等方面的效果。</w:t>
            </w:r>
          </w:p>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4.项目的模式可复制、可推广、具有示范效应。</w:t>
            </w:r>
          </w:p>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5.项目对带动大学生到农村、城乡社区从事社会服务就业创业的情况。</w:t>
            </w:r>
          </w:p>
        </w:tc>
        <w:tc>
          <w:tcPr>
            <w:tcW w:w="328"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仿宋_GB2312" w:hAnsi="仿宋_GB2312" w:eastAsia="仿宋_GB2312" w:cs="仿宋_GB2312"/>
                <w:sz w:val="24"/>
                <w:szCs w:val="24"/>
              </w:rPr>
            </w:pP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483"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8" w:type="pct"/>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1.团队能够基于科学严谨的创新过程，遵循创新规律，运用各类创新的理念和范式，解决社会实际需求。</w:t>
            </w:r>
          </w:p>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2.项目能够从产品创新、服务创新等方面着手开展公益创业实践，并产生一定数量和质量的创新成果。</w:t>
            </w:r>
          </w:p>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3.鼓励将高校科研成果运用到公益创业中，以解决相应的社会问题。</w:t>
            </w:r>
          </w:p>
        </w:tc>
        <w:tc>
          <w:tcPr>
            <w:tcW w:w="328"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3" w:type="pct"/>
            <w:noWrap w:val="0"/>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4516" w:type="pct"/>
            <w:gridSpan w:val="2"/>
            <w:noWrap w:val="0"/>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pPr>
        <w:widowControl/>
        <w:jc w:val="left"/>
        <w:rPr>
          <w:rFonts w:ascii="黑体" w:hAnsi="黑体" w:eastAsia="黑体" w:cs="仿宋_GB2312"/>
          <w:bCs/>
          <w:sz w:val="32"/>
          <w:szCs w:val="32"/>
        </w:rPr>
        <w:sectPr>
          <w:pgSz w:w="16838" w:h="11906" w:orient="landscape"/>
          <w:pgMar w:top="1021" w:right="1134" w:bottom="1021" w:left="1134" w:header="851" w:footer="851" w:gutter="0"/>
          <w:cols w:space="720" w:num="1"/>
          <w:docGrid w:type="linesAndChars" w:linePitch="435" w:charSpace="0"/>
        </w:sectPr>
      </w:pPr>
    </w:p>
    <w:p>
      <w:pPr>
        <w:jc w:val="center"/>
        <w:rPr>
          <w:rFonts w:ascii="黑体" w:hAnsi="黑体" w:eastAsia="黑体" w:cs="仿宋_GB2312"/>
          <w:bCs/>
          <w:sz w:val="32"/>
          <w:szCs w:val="32"/>
        </w:rPr>
      </w:pPr>
      <w:r>
        <w:rPr>
          <w:rFonts w:hint="eastAsia" w:ascii="黑体" w:hAnsi="黑体" w:eastAsia="黑体" w:cs="仿宋_GB2312"/>
          <w:bCs/>
          <w:sz w:val="32"/>
          <w:szCs w:val="32"/>
        </w:rPr>
        <w:t>“青年红色筑梦之旅”赛道项目评审要点：创意组</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noWrap w:val="0"/>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6" w:type="pct"/>
            <w:noWrap w:val="0"/>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noWrap w:val="0"/>
            <w:vAlign w:val="center"/>
          </w:tcPr>
          <w:p>
            <w:pPr>
              <w:jc w:val="center"/>
              <w:rPr>
                <w:rFonts w:ascii="黑体" w:hAnsi="黑体" w:eastAsia="黑体" w:cs="仿宋_GB2312"/>
                <w:sz w:val="24"/>
                <w:szCs w:val="24"/>
              </w:rPr>
            </w:pPr>
            <w:r>
              <w:rPr>
                <w:rFonts w:hint="eastAsia" w:ascii="黑体" w:hAnsi="黑体" w:eastAsia="黑体" w:cs="仿宋_GB2312"/>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noWrap w:val="0"/>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6" w:type="pct"/>
            <w:noWrap w:val="0"/>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项目应弘扬正确的价值观，体现家国情怀，恪守伦理规范，有助于培育创新创业精神。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乡村振兴和农业农村现代化、城乡社区发展，展现创新创业教育对创业者基本素养和认知的塑造力和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jc w:val="left"/>
              <w:rPr>
                <w:rFonts w:ascii="仿宋_GB2312" w:hAnsi="仿宋_GB2312" w:eastAsia="仿宋_GB2312" w:cs="仿宋_GB2312"/>
                <w:bCs/>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.项目能充分体现院校在新工科、新医科、新农科、新文科建设方面取得的成果；项目充分体现专业教育、思政教育、创新创业教育的有机融合；体现院校在项目的培育、孵化等方面的支持情况。</w:t>
            </w:r>
          </w:p>
        </w:tc>
        <w:tc>
          <w:tcPr>
            <w:tcW w:w="329" w:type="pct"/>
            <w:noWrap w:val="0"/>
            <w:vAlign w:val="center"/>
          </w:tcPr>
          <w:p>
            <w:pPr>
              <w:jc w:val="center"/>
              <w:rPr>
                <w:rFonts w:ascii="仿宋_GB2312" w:hAnsi="仿宋_GB2312" w:eastAsia="仿宋_GB2312" w:cs="仿宋_GB2312"/>
                <w:szCs w:val="21"/>
              </w:rPr>
            </w:pPr>
            <w:r>
              <w:rPr>
                <w:rFonts w:ascii="仿宋_GB2312" w:hAnsi="仿宋_GB2312" w:eastAsia="仿宋_GB2312" w:cs="仿宋_GB2312"/>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noWrap w:val="0"/>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6" w:type="pct"/>
            <w:noWrap w:val="0"/>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1.团队的组成原则与过程是否科学合理；团队是否具有支撑项目成长的知识、技术和经验；是否有明确的使命愿景。</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2.团队的组织构架、人员配置、分工协作、能力结构、专业结构、合作机制、激励制度等的合理性情况。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3.团队与项目关系的真实性、紧密性情况；对项目的各项投入情况；创立创业企业的可能性情况。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noWrap w:val="0"/>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noWrap w:val="0"/>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6" w:type="pct"/>
            <w:noWrap w:val="0"/>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1.充分了解乡村振兴、农业农村现代化、城乡社区发展的内容和要求，了解其中的痛点、难点，进而形成对所要解决问题完备的认知。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2.在服务乡村振兴、农业农村现代化、城乡社区发展等方面有较好的创意、产品或服务模式，追求经济效益和社会效益的平衡。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3.项目对推动乡村振兴、农业农村现代化、城乡社区发展等方面的贡献度。</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p>
            <w:pPr>
              <w:jc w:val="left"/>
              <w:rPr>
                <w:rFonts w:ascii="仿宋_GB2312" w:hAnsi="仿宋_GB2312" w:eastAsia="仿宋_GB2312" w:cs="仿宋_GB2312"/>
                <w:sz w:val="24"/>
                <w:szCs w:val="24"/>
              </w:rPr>
            </w:pPr>
          </w:p>
        </w:tc>
        <w:tc>
          <w:tcPr>
            <w:tcW w:w="329" w:type="pct"/>
            <w:noWrap w:val="0"/>
            <w:vAlign w:val="center"/>
          </w:tcPr>
          <w:p>
            <w:pPr>
              <w:jc w:val="center"/>
              <w:rPr>
                <w:rFonts w:ascii="仿宋_GB2312" w:hAnsi="仿宋_GB2312" w:eastAsia="仿宋_GB2312" w:cs="仿宋_GB2312"/>
                <w:szCs w:val="21"/>
              </w:rPr>
            </w:pPr>
            <w:r>
              <w:rPr>
                <w:rFonts w:ascii="仿宋_GB2312" w:hAnsi="仿宋_GB2312" w:eastAsia="仿宋_GB2312" w:cs="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noWrap w:val="0"/>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6" w:type="pct"/>
            <w:noWrap w:val="0"/>
            <w:vAlign w:val="center"/>
          </w:tcPr>
          <w:p>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1.团队能够基于科学严谨的创新过程，遵循创新规律，运用各类创新的理念和范式，解决乡村振兴、农业农村现代化、城乡社区发展中遇到的各类问题。</w:t>
            </w:r>
          </w:p>
          <w:p>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2.项目能够从产品创新、服务创新等方面着手开展创新创业实践，并产生一定数量和质量的创新成果。</w:t>
            </w:r>
          </w:p>
          <w:p>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p>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4.鼓励组织模式或商业模式创新，鼓励资源整合优化创新。</w:t>
            </w:r>
          </w:p>
        </w:tc>
        <w:tc>
          <w:tcPr>
            <w:tcW w:w="329" w:type="pct"/>
            <w:noWrap w:val="0"/>
            <w:vAlign w:val="center"/>
          </w:tcPr>
          <w:p>
            <w:pPr>
              <w:widowControl/>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noWrap w:val="0"/>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6" w:type="pct"/>
            <w:noWrap w:val="0"/>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pPr>
              <w:pStyle w:val="6"/>
              <w:ind w:firstLine="0" w:firstLineChars="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noWrap w:val="0"/>
            <w:vAlign w:val="center"/>
          </w:tcPr>
          <w:p>
            <w:pPr>
              <w:widowControl/>
              <w:jc w:val="center"/>
              <w:rPr>
                <w:rFonts w:ascii="仿宋_GB2312" w:hAnsi="仿宋_GB2312" w:eastAsia="仿宋_GB2312" w:cs="仿宋_GB2312"/>
                <w:szCs w:val="21"/>
              </w:rPr>
            </w:pPr>
            <w:r>
              <w:rPr>
                <w:rFonts w:hint="eastAsia" w:ascii="仿宋_GB2312" w:hAnsi="仿宋_GB2312" w:eastAsia="仿宋_GB2312" w:cs="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noWrap w:val="0"/>
            <w:vAlign w:val="center"/>
          </w:tcPr>
          <w:p>
            <w:pPr>
              <w:jc w:val="center"/>
              <w:rPr>
                <w:rFonts w:ascii="仿宋_GB2312" w:hAnsi="仿宋_GB2312" w:eastAsia="仿宋_GB2312" w:cs="仿宋_GB2312"/>
                <w:szCs w:val="21"/>
              </w:rPr>
            </w:pPr>
            <w:r>
              <w:rPr>
                <w:rFonts w:hint="eastAsia" w:ascii="仿宋_GB2312" w:hAnsi="仿宋_GB2312" w:eastAsia="仿宋_GB2312" w:cs="仿宋_GB2312"/>
                <w:sz w:val="24"/>
                <w:szCs w:val="24"/>
              </w:rPr>
              <w:t>必要条件</w:t>
            </w:r>
          </w:p>
        </w:tc>
        <w:tc>
          <w:tcPr>
            <w:tcW w:w="4515" w:type="pct"/>
            <w:gridSpan w:val="2"/>
            <w:noWrap w:val="0"/>
            <w:vAlign w:val="center"/>
          </w:tcPr>
          <w:p>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pPr>
        <w:jc w:val="left"/>
        <w:rPr>
          <w:rFonts w:ascii="黑体" w:hAnsi="黑体" w:eastAsia="黑体" w:cs="仿宋_GB2312"/>
          <w:bCs/>
          <w:sz w:val="32"/>
          <w:szCs w:val="32"/>
        </w:rPr>
      </w:pPr>
    </w:p>
    <w:p>
      <w:pPr>
        <w:jc w:val="left"/>
        <w:rPr>
          <w:rFonts w:ascii="黑体" w:hAnsi="黑体" w:eastAsia="黑体" w:cs="仿宋_GB2312"/>
          <w:bCs/>
          <w:sz w:val="32"/>
          <w:szCs w:val="32"/>
        </w:rPr>
        <w:sectPr>
          <w:pgSz w:w="16838" w:h="11906" w:orient="landscape"/>
          <w:pgMar w:top="1021" w:right="1134" w:bottom="1021" w:left="1134" w:header="851" w:footer="851" w:gutter="0"/>
          <w:cols w:space="720" w:num="1"/>
          <w:docGrid w:type="linesAndChars" w:linePitch="435" w:charSpace="0"/>
        </w:sectPr>
      </w:pPr>
    </w:p>
    <w:p>
      <w:pPr>
        <w:jc w:val="center"/>
        <w:rPr>
          <w:rFonts w:ascii="宋体" w:hAnsi="宋体" w:eastAsia="宋体" w:cs="仿宋"/>
          <w:sz w:val="24"/>
          <w:szCs w:val="24"/>
        </w:rPr>
      </w:pPr>
      <w:r>
        <w:rPr>
          <w:rFonts w:hint="eastAsia" w:ascii="黑体" w:hAnsi="黑体" w:eastAsia="黑体" w:cs="仿宋_GB2312"/>
          <w:bCs/>
          <w:sz w:val="32"/>
          <w:szCs w:val="32"/>
        </w:rPr>
        <w:t>“青年红色筑梦之旅”赛道项目评审要点：创业组</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4"/>
        <w:gridCol w:w="11717"/>
        <w:gridCol w:w="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noWrap w:val="0"/>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7" w:type="pct"/>
            <w:noWrap w:val="0"/>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noWrap w:val="0"/>
            <w:vAlign w:val="center"/>
          </w:tcPr>
          <w:p>
            <w:pPr>
              <w:jc w:val="center"/>
              <w:rPr>
                <w:rFonts w:ascii="黑体" w:hAnsi="黑体" w:eastAsia="黑体" w:cs="仿宋_GB2312"/>
                <w:sz w:val="24"/>
                <w:szCs w:val="24"/>
              </w:rPr>
            </w:pPr>
            <w:r>
              <w:rPr>
                <w:rFonts w:hint="eastAsia" w:ascii="黑体" w:hAnsi="黑体" w:eastAsia="黑体" w:cs="仿宋_GB2312"/>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noWrap w:val="0"/>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noWrap w:val="0"/>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项目应弘扬正确的价值观，体现家国情怀，恪守伦理规范，有助于培育创新创业精神。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乡村振兴和农业农村现代化实践，展现创新创业教育对创业者基本素养和认知的塑造力和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.项目能充分体现院校在新工科、新医科、新农科、新文科建设方面取得的成果；项目充分体现专业教育、思政教育、创新创业教育的有机融合；体现院校在项目的培育、孵化等方面的支持情况。</w:t>
            </w:r>
          </w:p>
        </w:tc>
        <w:tc>
          <w:tcPr>
            <w:tcW w:w="329" w:type="pct"/>
            <w:noWrap w:val="0"/>
            <w:vAlign w:val="center"/>
          </w:tcPr>
          <w:p>
            <w:pPr>
              <w:jc w:val="center"/>
              <w:rPr>
                <w:rFonts w:ascii="仿宋_GB2312" w:hAnsi="仿宋_GB2312" w:eastAsia="仿宋_GB2312" w:cs="仿宋_GB2312"/>
                <w:b/>
                <w:sz w:val="24"/>
                <w:szCs w:val="24"/>
              </w:rPr>
            </w:pP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noWrap w:val="0"/>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noWrap w:val="0"/>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1.团队的组成原则与过程是否科学合理，团队成员的教育和工作背景、创新能力、价值观念、分工协作和能力互补情况，是否有明确的使命愿景；</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2.公司是否具有合理的组织构架、清晰的指挥链、科学的决策机制；是否有合理的岗位设置、分工协作、专业能力结构；是否有良好的内部沟通机制；是否有合理的股权结构、激励制度。</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3.团队对项目的各项投入情况及团队成员的稳定性情况。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4.支撑公司发展的合作伙伴等外部资源的使用以及与公司关系的情况。</w:t>
            </w:r>
          </w:p>
        </w:tc>
        <w:tc>
          <w:tcPr>
            <w:tcW w:w="329" w:type="pct"/>
            <w:noWrap w:val="0"/>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noWrap w:val="0"/>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7" w:type="pct"/>
            <w:noWrap w:val="0"/>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1.充分了解乡村振兴、农业农村现代化、城乡社区发展的内容和要求，了解其中的痛点、难点，进而形成对所要解决问题完备的认知。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2.在服务乡村振兴、农业农村现代化、城乡社区发展等方面有较好产品或服务模式，追求经济效益和社会效益的平衡。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3.项目通过商业方式推动乡村振兴、农业农村现代化、城乡社区发展等方面的贡献度。</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tc>
        <w:tc>
          <w:tcPr>
            <w:tcW w:w="329" w:type="pct"/>
            <w:noWrap w:val="0"/>
            <w:vAlign w:val="center"/>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484" w:type="pct"/>
            <w:noWrap w:val="0"/>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noWrap w:val="0"/>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1.团队能够基于科学严谨的创新过程，遵循创新规律，运用各类创新的理念和范式，解决乡村振兴、农业农村现代化、城乡社区发展中遇到的各类问题。</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2.项目能够从产品创新、服务创新、组织创新等方面着手开展创新创业实践，并产生一定数量和质量的创新成果，获得相应的市场回报。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tc>
        <w:tc>
          <w:tcPr>
            <w:tcW w:w="329" w:type="pct"/>
            <w:noWrap w:val="0"/>
            <w:vAlign w:val="center"/>
          </w:tcPr>
          <w:p>
            <w:pPr>
              <w:widowControl/>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484" w:type="pct"/>
            <w:noWrap w:val="0"/>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noWrap w:val="0"/>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noWrap w:val="0"/>
            <w:vAlign w:val="center"/>
          </w:tcPr>
          <w:p>
            <w:pPr>
              <w:widowControl/>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noWrap w:val="0"/>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4516" w:type="pct"/>
            <w:gridSpan w:val="2"/>
            <w:noWrap w:val="0"/>
            <w:vAlign w:val="center"/>
          </w:tcPr>
          <w:p>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pPr>
        <w:tabs>
          <w:tab w:val="left" w:pos="420"/>
        </w:tabs>
        <w:adjustRightInd w:val="0"/>
        <w:snapToGrid w:val="0"/>
        <w:spacing w:line="560" w:lineRule="exact"/>
        <w:rPr>
          <w:rFonts w:ascii="Times New Roman" w:hAnsi="Times New Roman" w:eastAsia="黑体"/>
          <w:sz w:val="32"/>
          <w:szCs w:val="32"/>
        </w:rPr>
        <w:sectPr>
          <w:pgSz w:w="16838" w:h="11906" w:orient="landscape"/>
          <w:pgMar w:top="1531" w:right="1531" w:bottom="1531" w:left="1531" w:header="851" w:footer="992" w:gutter="0"/>
          <w:cols w:space="720" w:num="1"/>
          <w:docGrid w:linePitch="312" w:charSpace="0"/>
        </w:sectPr>
      </w:pPr>
      <w:bookmarkStart w:id="0" w:name="_GoBack"/>
      <w:bookmarkEnd w:id="0"/>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2ZjFiNGIwODg3NGViMjQ0YzE2MjI4MTVkYTAwMTIifQ=="/>
  </w:docVars>
  <w:rsids>
    <w:rsidRoot w:val="266A4F75"/>
    <w:rsid w:val="266A4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等线" w:hAnsi="等线" w:eastAsia="等线" w:cs="Times New Roman"/>
      <w:sz w:val="18"/>
      <w:szCs w:val="18"/>
    </w:rPr>
  </w:style>
  <w:style w:type="table" w:styleId="4">
    <w:name w:val="Table Grid"/>
    <w:basedOn w:val="3"/>
    <w:qFormat/>
    <w:uiPriority w:val="0"/>
    <w:rPr>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2024-05-14T03:18:00Z</dcterms:created>
  <dc:creator>韩悦</dc:creator>
  <cp:lastModifiedBy>韩悦</cp:lastModifiedBy>
  <dcterms:modified xsi:type="dcterms:W3CDTF">2024-05-14T03:20:41Z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FADADAC86D224649853FB8AF040A569B_11</vt:lpwstr>
  </property>
</Properties>
</file>